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1E953" w14:textId="59A622B2" w:rsidR="005D3A79" w:rsidRDefault="005D3A79"/>
    <w:p w14:paraId="558DE9DE" w14:textId="4051D65F" w:rsidR="000D5664" w:rsidRDefault="000D5664"/>
    <w:p w14:paraId="1ABD407B" w14:textId="77777777" w:rsidR="00FC2422" w:rsidRDefault="00FC2422" w:rsidP="00FC2422"/>
    <w:p w14:paraId="695F7BB5" w14:textId="77777777" w:rsidR="00FC2422" w:rsidRDefault="00FC2422" w:rsidP="00FC2422"/>
    <w:p w14:paraId="0F19C478" w14:textId="77777777" w:rsidR="00FC2422" w:rsidRDefault="00FC2422" w:rsidP="00FC2422">
      <w:pPr>
        <w:jc w:val="center"/>
      </w:pPr>
    </w:p>
    <w:p w14:paraId="6A92F0C7" w14:textId="77777777" w:rsidR="00FC2422" w:rsidRPr="000C4718" w:rsidRDefault="00FC2422" w:rsidP="00FC2422">
      <w:pPr>
        <w:jc w:val="center"/>
        <w:rPr>
          <w:highlight w:val="yellow"/>
        </w:rPr>
      </w:pPr>
    </w:p>
    <w:p w14:paraId="222C038C" w14:textId="77777777" w:rsidR="00FC2422" w:rsidRDefault="00FC2422" w:rsidP="00FC2422">
      <w:pPr>
        <w:jc w:val="center"/>
      </w:pPr>
    </w:p>
    <w:p w14:paraId="07D51010" w14:textId="3C9C6143" w:rsidR="00FC2422" w:rsidRDefault="006D48C2" w:rsidP="00FC2422">
      <w:pPr>
        <w:jc w:val="center"/>
      </w:pPr>
      <w:r w:rsidRPr="006D48C2">
        <w:t>Do People Prescribe Optimism, Overoptimism, or Neither?</w:t>
      </w:r>
    </w:p>
    <w:p w14:paraId="13D5E2EC" w14:textId="77777777" w:rsidR="00FC2422" w:rsidRDefault="00FC2422" w:rsidP="00FC2422">
      <w:pPr>
        <w:jc w:val="center"/>
      </w:pPr>
    </w:p>
    <w:p w14:paraId="0F6F388D" w14:textId="77777777" w:rsidR="00FC2422" w:rsidRDefault="00FC2422" w:rsidP="00FC2422">
      <w:pPr>
        <w:jc w:val="center"/>
      </w:pPr>
    </w:p>
    <w:p w14:paraId="220F0F9E" w14:textId="47BD4FED" w:rsidR="00FC2422" w:rsidRDefault="00FC2422" w:rsidP="00164243">
      <w:pPr>
        <w:jc w:val="center"/>
      </w:pPr>
      <w:r>
        <w:t>Jane E. Miller</w:t>
      </w:r>
      <w:r w:rsidRPr="000D5664">
        <w:rPr>
          <w:vertAlign w:val="superscript"/>
        </w:rPr>
        <w:t>1*</w:t>
      </w:r>
      <w:r>
        <w:t xml:space="preserve">, </w:t>
      </w:r>
      <w:proofErr w:type="spellStart"/>
      <w:r>
        <w:t>Inkyung</w:t>
      </w:r>
      <w:proofErr w:type="spellEnd"/>
      <w:r>
        <w:t xml:space="preserve"> Park</w:t>
      </w:r>
      <w:r w:rsidRPr="000D5664">
        <w:rPr>
          <w:vertAlign w:val="superscript"/>
        </w:rPr>
        <w:t>1</w:t>
      </w:r>
      <w:r>
        <w:t>, Andrew R. Smith</w:t>
      </w:r>
      <w:r w:rsidRPr="000D5664">
        <w:rPr>
          <w:vertAlign w:val="superscript"/>
        </w:rPr>
        <w:t>2</w:t>
      </w:r>
      <w:r>
        <w:t>, and Paul D. Windschitl</w:t>
      </w:r>
      <w:r w:rsidRPr="000D5664">
        <w:rPr>
          <w:vertAlign w:val="superscript"/>
        </w:rPr>
        <w:t>1</w:t>
      </w:r>
    </w:p>
    <w:p w14:paraId="36D6E329" w14:textId="77777777" w:rsidR="00FC2422" w:rsidRDefault="00FC2422" w:rsidP="00FC2422">
      <w:pPr>
        <w:tabs>
          <w:tab w:val="left" w:pos="5832"/>
        </w:tabs>
      </w:pPr>
    </w:p>
    <w:p w14:paraId="6CD56FA9" w14:textId="3FF49D31" w:rsidR="00FC2422" w:rsidRDefault="00FC2422" w:rsidP="00FC2422">
      <w:pPr>
        <w:jc w:val="center"/>
      </w:pPr>
    </w:p>
    <w:p w14:paraId="263F46A1" w14:textId="6485628E" w:rsidR="00164243" w:rsidRDefault="00164243" w:rsidP="00FC2422">
      <w:pPr>
        <w:jc w:val="center"/>
      </w:pPr>
    </w:p>
    <w:p w14:paraId="6C22DA25" w14:textId="77777777" w:rsidR="00164243" w:rsidRDefault="00164243" w:rsidP="00FC2422">
      <w:pPr>
        <w:jc w:val="center"/>
      </w:pPr>
    </w:p>
    <w:p w14:paraId="07C59044" w14:textId="413C2D10" w:rsidR="008E2118" w:rsidRPr="008E2118" w:rsidRDefault="00164243" w:rsidP="008E2118">
      <w:pPr>
        <w:jc w:val="center"/>
        <w:rPr>
          <w:i/>
          <w:iCs/>
        </w:rPr>
      </w:pPr>
      <w:r>
        <w:t>C</w:t>
      </w:r>
      <w:r w:rsidRPr="00164243">
        <w:t xml:space="preserve">urrently in press at </w:t>
      </w:r>
      <w:r w:rsidRPr="00164243">
        <w:rPr>
          <w:i/>
          <w:iCs/>
        </w:rPr>
        <w:t xml:space="preserve">Psychological </w:t>
      </w:r>
      <w:r>
        <w:rPr>
          <w:i/>
          <w:iCs/>
        </w:rPr>
        <w:t>Science</w:t>
      </w:r>
    </w:p>
    <w:p w14:paraId="5329A971" w14:textId="4E6D0581" w:rsidR="00FC2422" w:rsidRDefault="008E2118" w:rsidP="00FC2422">
      <w:pPr>
        <w:jc w:val="center"/>
      </w:pPr>
      <w:r>
        <w:t xml:space="preserve">OSF: </w:t>
      </w:r>
      <w:r w:rsidRPr="008E2118">
        <w:t>https://osf.io/kd6hu/</w:t>
      </w:r>
    </w:p>
    <w:p w14:paraId="1A085F59" w14:textId="4E3E8B75" w:rsidR="00164243" w:rsidRDefault="00164243" w:rsidP="00FC2422">
      <w:pPr>
        <w:jc w:val="center"/>
      </w:pPr>
    </w:p>
    <w:p w14:paraId="5078F533" w14:textId="4B637C5E" w:rsidR="00164243" w:rsidRDefault="00164243" w:rsidP="00FC2422">
      <w:pPr>
        <w:jc w:val="center"/>
      </w:pPr>
    </w:p>
    <w:p w14:paraId="42A70FFE" w14:textId="1E1D680E" w:rsidR="00164243" w:rsidRDefault="00164243" w:rsidP="00FC2422">
      <w:pPr>
        <w:jc w:val="center"/>
      </w:pPr>
    </w:p>
    <w:p w14:paraId="692DA053" w14:textId="166C75AF" w:rsidR="00164243" w:rsidRDefault="00164243" w:rsidP="00FC2422">
      <w:pPr>
        <w:jc w:val="center"/>
      </w:pPr>
    </w:p>
    <w:p w14:paraId="59EB72C5" w14:textId="77777777" w:rsidR="00164243" w:rsidRDefault="00164243" w:rsidP="00FC2422">
      <w:pPr>
        <w:jc w:val="center"/>
      </w:pPr>
    </w:p>
    <w:p w14:paraId="0056486B" w14:textId="77777777" w:rsidR="00FC2422" w:rsidRPr="004F7940" w:rsidRDefault="00FC2422" w:rsidP="00FC2422">
      <w:pPr>
        <w:jc w:val="center"/>
        <w:rPr>
          <w:i/>
        </w:rPr>
      </w:pPr>
      <w:r>
        <w:rPr>
          <w:i/>
          <w:vertAlign w:val="superscript"/>
        </w:rPr>
        <w:t>1</w:t>
      </w:r>
      <w:r w:rsidRPr="004F7940">
        <w:rPr>
          <w:i/>
        </w:rPr>
        <w:t xml:space="preserve">Department of Psychological and Brain Sciences, University of Iowa, Iowa City, IA, USA </w:t>
      </w:r>
    </w:p>
    <w:p w14:paraId="21B897C8" w14:textId="37FBCEFE" w:rsidR="00164243" w:rsidRPr="00164243" w:rsidRDefault="00FC2422" w:rsidP="00164243">
      <w:pPr>
        <w:jc w:val="center"/>
        <w:rPr>
          <w:i/>
        </w:rPr>
      </w:pPr>
      <w:r w:rsidRPr="000D5664">
        <w:rPr>
          <w:i/>
          <w:vertAlign w:val="superscript"/>
        </w:rPr>
        <w:t>2</w:t>
      </w:r>
      <w:r>
        <w:rPr>
          <w:i/>
        </w:rPr>
        <w:t>Department of Psychology, Appalachian State University, Boone, NC, USA</w:t>
      </w:r>
    </w:p>
    <w:p w14:paraId="394A779C" w14:textId="78DB7AC1" w:rsidR="00164243" w:rsidRDefault="00164243" w:rsidP="00FC2422">
      <w:pPr>
        <w:jc w:val="center"/>
      </w:pPr>
    </w:p>
    <w:p w14:paraId="17012B36" w14:textId="77777777" w:rsidR="00164243" w:rsidRDefault="00164243" w:rsidP="00FC2422">
      <w:pPr>
        <w:jc w:val="center"/>
      </w:pPr>
    </w:p>
    <w:p w14:paraId="503DEFC8" w14:textId="77777777" w:rsidR="00FC2422" w:rsidRDefault="00FC2422" w:rsidP="00FC2422">
      <w:pPr>
        <w:jc w:val="center"/>
      </w:pPr>
    </w:p>
    <w:p w14:paraId="7324AF62" w14:textId="77777777" w:rsidR="00FC2422" w:rsidRDefault="00FC2422" w:rsidP="00FC2422">
      <w:pPr>
        <w:jc w:val="center"/>
      </w:pPr>
    </w:p>
    <w:p w14:paraId="616939BC" w14:textId="77777777" w:rsidR="00FC2422" w:rsidRDefault="00FC2422" w:rsidP="00FC2422">
      <w:pPr>
        <w:jc w:val="center"/>
      </w:pPr>
    </w:p>
    <w:p w14:paraId="1CD8DA4F" w14:textId="77777777" w:rsidR="00FC2422" w:rsidRDefault="00FC2422" w:rsidP="00FC2422">
      <w:pPr>
        <w:spacing w:line="480" w:lineRule="auto"/>
      </w:pPr>
      <w:r>
        <w:t>*</w:t>
      </w:r>
      <w:r w:rsidRPr="00043A2B">
        <w:t xml:space="preserve">Correspondence concerning this article should be addressed to Jane E. Miller, Department of Psychological and Brain Sciences, University of Iowa, Iowa City, IA 52242. Email: </w:t>
      </w:r>
      <w:hyperlink r:id="rId8" w:history="1">
        <w:r w:rsidRPr="00533D6F">
          <w:rPr>
            <w:rStyle w:val="Hyperlink"/>
          </w:rPr>
          <w:t>jane-miller@uiowa.edu</w:t>
        </w:r>
      </w:hyperlink>
      <w:r w:rsidRPr="00043A2B">
        <w:t>.</w:t>
      </w:r>
    </w:p>
    <w:p w14:paraId="463BC996" w14:textId="77777777" w:rsidR="00FC2422" w:rsidRDefault="00FC2422" w:rsidP="00FC2422">
      <w:pPr>
        <w:spacing w:line="480" w:lineRule="auto"/>
      </w:pPr>
    </w:p>
    <w:p w14:paraId="7EB164DE" w14:textId="77777777" w:rsidR="00FC2422" w:rsidRPr="00B17116" w:rsidRDefault="00FC2422" w:rsidP="00FC2422">
      <w:pPr>
        <w:spacing w:line="480" w:lineRule="auto"/>
        <w:rPr>
          <w:color w:val="000000" w:themeColor="text1"/>
        </w:rPr>
      </w:pPr>
    </w:p>
    <w:p w14:paraId="76778FA2" w14:textId="77777777" w:rsidR="00FC2422" w:rsidRPr="00B17116" w:rsidRDefault="00FC2422" w:rsidP="00FC2422">
      <w:pPr>
        <w:shd w:val="clear" w:color="auto" w:fill="FFFFFF"/>
        <w:rPr>
          <w:rFonts w:ascii="Calibri" w:hAnsi="Calibri" w:cs="Calibri"/>
          <w:color w:val="000000" w:themeColor="text1"/>
          <w:sz w:val="22"/>
          <w:szCs w:val="22"/>
        </w:rPr>
      </w:pPr>
      <w:r w:rsidRPr="00B17116">
        <w:rPr>
          <w:color w:val="000000" w:themeColor="text1"/>
          <w:bdr w:val="none" w:sz="0" w:space="0" w:color="auto" w:frame="1"/>
        </w:rPr>
        <w:t xml:space="preserve">This work was supported by Grant SES-1851738 to Paul </w:t>
      </w:r>
      <w:proofErr w:type="spellStart"/>
      <w:r w:rsidRPr="00B17116">
        <w:rPr>
          <w:color w:val="000000" w:themeColor="text1"/>
          <w:bdr w:val="none" w:sz="0" w:space="0" w:color="auto" w:frame="1"/>
        </w:rPr>
        <w:t>Windschitl</w:t>
      </w:r>
      <w:proofErr w:type="spellEnd"/>
      <w:r w:rsidRPr="00B17116">
        <w:rPr>
          <w:color w:val="000000" w:themeColor="text1"/>
          <w:bdr w:val="none" w:sz="0" w:space="0" w:color="auto" w:frame="1"/>
        </w:rPr>
        <w:t xml:space="preserve"> and Andrew Smith from the National Science Foundation.</w:t>
      </w:r>
    </w:p>
    <w:p w14:paraId="63CE24C6" w14:textId="77777777" w:rsidR="00FC2422" w:rsidRPr="00B17116" w:rsidRDefault="00FC2422" w:rsidP="00FC2422">
      <w:pPr>
        <w:rPr>
          <w:color w:val="000000" w:themeColor="text1"/>
        </w:rPr>
      </w:pPr>
    </w:p>
    <w:p w14:paraId="7665A18F" w14:textId="77777777" w:rsidR="00FC2422" w:rsidRDefault="00FC2422" w:rsidP="00FC2422">
      <w:pPr>
        <w:spacing w:line="480" w:lineRule="auto"/>
      </w:pPr>
    </w:p>
    <w:p w14:paraId="69645B61" w14:textId="77777777" w:rsidR="00FC2422" w:rsidRDefault="00FC2422" w:rsidP="00164243">
      <w:pPr>
        <w:spacing w:line="480" w:lineRule="auto"/>
      </w:pPr>
    </w:p>
    <w:p w14:paraId="2373CE5F" w14:textId="35B7DB49" w:rsidR="003A2CDD" w:rsidRDefault="003A2CDD" w:rsidP="002C65F2">
      <w:pPr>
        <w:spacing w:line="480" w:lineRule="auto"/>
        <w:jc w:val="center"/>
      </w:pPr>
      <w:r>
        <w:lastRenderedPageBreak/>
        <w:t>Abstract</w:t>
      </w:r>
    </w:p>
    <w:p w14:paraId="3EA19EB7" w14:textId="7CF0B3C1" w:rsidR="00857850" w:rsidRDefault="00857850" w:rsidP="00857850">
      <w:pPr>
        <w:spacing w:line="480" w:lineRule="auto"/>
      </w:pPr>
      <w:r>
        <w:t>Past work has suggested that people prescribe optimism</w:t>
      </w:r>
      <w:r w:rsidR="002E5A45">
        <w:t>—</w:t>
      </w:r>
      <w:r>
        <w:t xml:space="preserve">believing it is better to be optimistic, instead of accurate or pessimistic, about uncertain future events. Here, we identified and addressed an important ambiguity about whether those findings reflect an endorsement of biased beliefs—i.e., whether people prescribe likelihood estimates that reflect </w:t>
      </w:r>
      <w:r w:rsidRPr="00BB0486">
        <w:rPr>
          <w:i/>
          <w:iCs/>
        </w:rPr>
        <w:t>over</w:t>
      </w:r>
      <w:r>
        <w:t xml:space="preserve">optimism. In three studies, participants (total </w:t>
      </w:r>
      <w:r w:rsidRPr="00D358F9">
        <w:rPr>
          <w:i/>
          <w:iCs/>
        </w:rPr>
        <w:t>N</w:t>
      </w:r>
      <w:r w:rsidRPr="00D358F9">
        <w:t xml:space="preserve"> </w:t>
      </w:r>
      <w:r>
        <w:t>= 663 U.S. university students) read scenarios about protagonists facing uncertain events with a desired outco</w:t>
      </w:r>
      <w:r w:rsidR="00AD0C28">
        <w:t>m</w:t>
      </w:r>
      <w:r>
        <w:t>e</w:t>
      </w:r>
      <w:r w:rsidR="00AD0C28">
        <w:t>.</w:t>
      </w:r>
      <w:r>
        <w:t xml:space="preserve"> </w:t>
      </w:r>
      <w:r w:rsidR="00CA0F87">
        <w:t xml:space="preserve">Results </w:t>
      </w:r>
      <w:r>
        <w:t xml:space="preserve">replicated prescriptions of optimism when using the same solicitations as in past work. However, we found quite different prescriptions when using alternative solicitations that asked about potential bias in likelihood estimations and that did not involve vague terms like “optimistic.” Participants generally prescribed being optimistic, feeling optimistic, and even thinking optimistically about the events, but they did not prescribe overestimating the likelihood of those events.   </w:t>
      </w:r>
    </w:p>
    <w:p w14:paraId="3C3FD6BE" w14:textId="77777777" w:rsidR="003A2CDD" w:rsidRDefault="003A2CDD" w:rsidP="003A2CDD"/>
    <w:p w14:paraId="781E07CB" w14:textId="77777777" w:rsidR="003A2CDD" w:rsidRDefault="003A2CDD" w:rsidP="003A2CDD"/>
    <w:p w14:paraId="331DEF9B" w14:textId="77777777" w:rsidR="003A2CDD" w:rsidRDefault="003A2CDD" w:rsidP="003A2CDD">
      <w:pPr>
        <w:jc w:val="center"/>
      </w:pPr>
      <w:r>
        <w:t>Statement of Relevance</w:t>
      </w:r>
    </w:p>
    <w:p w14:paraId="1E7DE6B3" w14:textId="77777777" w:rsidR="003A2CDD" w:rsidRDefault="003A2CDD" w:rsidP="003A2CDD"/>
    <w:p w14:paraId="5F082F40" w14:textId="0D8A9013" w:rsidR="003A2CDD" w:rsidRDefault="003A2CDD" w:rsidP="003A2CDD">
      <w:r>
        <w:t>Psychological research has shown that people tend to be optimistic about uncertain, desirable events and that people think other people should be optimistic too</w:t>
      </w:r>
      <w:r w:rsidR="00E22709">
        <w:t xml:space="preserve">, even </w:t>
      </w:r>
      <w:r>
        <w:t xml:space="preserve">when given the choice of being accurate. This is puzzling, given that accurate predictions are widely valued in science and across professional domains as an important step toward making sound decisions and policies. We suspected </w:t>
      </w:r>
      <w:r w:rsidR="00E92973">
        <w:t xml:space="preserve">that </w:t>
      </w:r>
      <w:r>
        <w:t>people’s endorsements of optimis</w:t>
      </w:r>
      <w:r w:rsidR="00E92973">
        <w:t xml:space="preserve">m </w:t>
      </w:r>
      <w:r w:rsidR="00A00B1A">
        <w:t>did</w:t>
      </w:r>
      <w:r w:rsidR="00E92973">
        <w:t xml:space="preserve"> not equate to endorsements of </w:t>
      </w:r>
      <w:proofErr w:type="gramStart"/>
      <w:r w:rsidR="00E92973">
        <w:t>optimistically-biased</w:t>
      </w:r>
      <w:proofErr w:type="gramEnd"/>
      <w:r w:rsidR="00E92973">
        <w:t xml:space="preserve"> estimation</w:t>
      </w:r>
      <w:r w:rsidR="00857850">
        <w:t>s</w:t>
      </w:r>
      <w:r w:rsidR="00E92973">
        <w:t xml:space="preserve"> of likelihood</w:t>
      </w:r>
      <w:r w:rsidR="006C3D41">
        <w:t>s</w:t>
      </w:r>
      <w:r w:rsidR="00E92973">
        <w:t>.</w:t>
      </w:r>
      <w:r>
        <w:t xml:space="preserve"> In our studies, we </w:t>
      </w:r>
      <w:r w:rsidR="00857850">
        <w:t xml:space="preserve">determined </w:t>
      </w:r>
      <w:r>
        <w:t xml:space="preserve">that how you ask people about their recommended levels of optimism can have a dramatic influence on whether people seem to support having </w:t>
      </w:r>
      <w:proofErr w:type="gramStart"/>
      <w:r>
        <w:t>optimistically</w:t>
      </w:r>
      <w:r w:rsidR="006C3D41">
        <w:t>-</w:t>
      </w:r>
      <w:r>
        <w:t>biased</w:t>
      </w:r>
      <w:proofErr w:type="gramEnd"/>
      <w:r>
        <w:t xml:space="preserve"> expectations. </w:t>
      </w:r>
      <w:r w:rsidR="00857850">
        <w:t xml:space="preserve">We found that people </w:t>
      </w:r>
      <w:r w:rsidR="00547A48">
        <w:t>do not</w:t>
      </w:r>
      <w:r w:rsidR="00E92973">
        <w:t xml:space="preserve"> generally </w:t>
      </w:r>
      <w:r>
        <w:t xml:space="preserve">recommend </w:t>
      </w:r>
      <w:r w:rsidR="00A00B1A">
        <w:t>being overly optimistic</w:t>
      </w:r>
      <w:r w:rsidR="00E92973">
        <w:t xml:space="preserve">, meaning </w:t>
      </w:r>
      <w:r w:rsidR="00A00B1A">
        <w:t xml:space="preserve">they do not recommend that people overestimate the likelihood of desirable events. </w:t>
      </w:r>
      <w:r>
        <w:t xml:space="preserve">The more nuanced understanding of this issue is ultimately important for improving decisions about, and preparations for, important life events.  </w:t>
      </w:r>
    </w:p>
    <w:p w14:paraId="58099C5D" w14:textId="77777777" w:rsidR="003A2CDD" w:rsidRDefault="003A2CDD" w:rsidP="003A2CDD"/>
    <w:p w14:paraId="0778AA0A" w14:textId="17C5DC4E" w:rsidR="007B13DF" w:rsidRDefault="007B13DF">
      <w:r>
        <w:t xml:space="preserve">Keywords: optimism, </w:t>
      </w:r>
      <w:r w:rsidR="00D06B2C">
        <w:t>e</w:t>
      </w:r>
      <w:r w:rsidR="00782AAB">
        <w:t>stimation, bias, forecasting, prediction</w:t>
      </w:r>
      <w:r w:rsidR="00D80DF6">
        <w:t>, accuracy, judgments</w:t>
      </w:r>
    </w:p>
    <w:p w14:paraId="2B53E5E2" w14:textId="77777777" w:rsidR="003A2CDD" w:rsidRDefault="003A2CDD" w:rsidP="00167008">
      <w:pPr>
        <w:spacing w:line="480" w:lineRule="auto"/>
        <w:jc w:val="center"/>
      </w:pPr>
    </w:p>
    <w:p w14:paraId="3AA4F2D4" w14:textId="77777777" w:rsidR="003A2CDD" w:rsidRDefault="003A2CDD">
      <w:r>
        <w:br w:type="page"/>
      </w:r>
    </w:p>
    <w:p w14:paraId="7224B190" w14:textId="77777777" w:rsidR="006D48C2" w:rsidRDefault="006D48C2" w:rsidP="006D48C2">
      <w:pPr>
        <w:jc w:val="center"/>
      </w:pPr>
      <w:r w:rsidRPr="006D48C2">
        <w:lastRenderedPageBreak/>
        <w:t>Do People Prescribe Optimism, Overoptimism, or Neither?</w:t>
      </w:r>
    </w:p>
    <w:p w14:paraId="4156CD7A" w14:textId="77777777" w:rsidR="003A2CDD" w:rsidRPr="002936DE" w:rsidRDefault="003A2CDD" w:rsidP="000E0042"/>
    <w:p w14:paraId="719970EB" w14:textId="1F9D66AC" w:rsidR="00D575D0" w:rsidRDefault="00CC78CC" w:rsidP="002936DE">
      <w:pPr>
        <w:spacing w:line="480" w:lineRule="auto"/>
      </w:pPr>
      <w:r>
        <w:tab/>
      </w:r>
      <w:r w:rsidR="00FA00DF">
        <w:t>When it comes to predictions about the future, accuracy is widely valued by professionals and scientists</w:t>
      </w:r>
      <w:r w:rsidR="00117ABA">
        <w:t xml:space="preserve"> </w:t>
      </w:r>
      <w:r w:rsidR="00117ABA" w:rsidRPr="00B84FB6">
        <w:t xml:space="preserve">(Chang, Chen, </w:t>
      </w:r>
      <w:proofErr w:type="spellStart"/>
      <w:r w:rsidR="00117ABA" w:rsidRPr="00B84FB6">
        <w:t>Mellers</w:t>
      </w:r>
      <w:proofErr w:type="spellEnd"/>
      <w:r w:rsidR="00117ABA" w:rsidRPr="00B84FB6">
        <w:t xml:space="preserve">, &amp; </w:t>
      </w:r>
      <w:proofErr w:type="spellStart"/>
      <w:r w:rsidR="00117ABA" w:rsidRPr="00B84FB6">
        <w:t>Tetlock</w:t>
      </w:r>
      <w:proofErr w:type="spellEnd"/>
      <w:r w:rsidR="00117ABA" w:rsidRPr="00B84FB6">
        <w:t>, 2016</w:t>
      </w:r>
      <w:r w:rsidR="00003983">
        <w:t>;</w:t>
      </w:r>
      <w:r w:rsidR="00117ABA">
        <w:t xml:space="preserve"> Moore et al., 201</w:t>
      </w:r>
      <w:r w:rsidR="00800ABC">
        <w:t>7</w:t>
      </w:r>
      <w:r w:rsidR="00117ABA">
        <w:t>; Soll, Milkman, &amp; Payne, 2015</w:t>
      </w:r>
      <w:r w:rsidR="004B04C0">
        <w:t xml:space="preserve">; </w:t>
      </w:r>
      <w:proofErr w:type="spellStart"/>
      <w:r w:rsidR="00B053DE">
        <w:t>Tetlock</w:t>
      </w:r>
      <w:proofErr w:type="spellEnd"/>
      <w:r w:rsidR="00B053DE">
        <w:t xml:space="preserve"> &amp; Gardner, 2015</w:t>
      </w:r>
      <w:r w:rsidR="00117ABA">
        <w:t>).</w:t>
      </w:r>
      <w:r w:rsidR="00FA00DF">
        <w:t xml:space="preserve"> </w:t>
      </w:r>
      <w:r w:rsidR="00E15304">
        <w:t>For events across many domains (e.g., weather, markets, and politics), establishing well</w:t>
      </w:r>
      <w:r w:rsidR="00975672">
        <w:t>-</w:t>
      </w:r>
      <w:r w:rsidR="00E15304">
        <w:t>calibrated forecasts allows for</w:t>
      </w:r>
      <w:r w:rsidR="006C0C68">
        <w:t xml:space="preserve"> optimal planning and resource allocations. </w:t>
      </w:r>
      <w:r w:rsidR="00B84FB6">
        <w:t>D</w:t>
      </w:r>
      <w:r>
        <w:t xml:space="preserve">espite the </w:t>
      </w:r>
      <w:r w:rsidR="00A268C9">
        <w:t xml:space="preserve">value of </w:t>
      </w:r>
      <w:r>
        <w:t>accuracy</w:t>
      </w:r>
      <w:r w:rsidR="00A268C9">
        <w:t>,</w:t>
      </w:r>
      <w:r>
        <w:t xml:space="preserve"> </w:t>
      </w:r>
      <w:r w:rsidR="005048F3">
        <w:t>one does</w:t>
      </w:r>
      <w:r w:rsidR="00C54B18">
        <w:t xml:space="preserve"> no</w:t>
      </w:r>
      <w:r w:rsidR="005048F3">
        <w:t xml:space="preserve">t </w:t>
      </w:r>
      <w:r w:rsidR="00A268C9">
        <w:t xml:space="preserve">need </w:t>
      </w:r>
      <w:r w:rsidR="005048F3">
        <w:t>to</w:t>
      </w:r>
      <w:r w:rsidR="00DD5061">
        <w:t xml:space="preserve"> look far </w:t>
      </w:r>
      <w:r w:rsidR="00DD5061" w:rsidRPr="00B64EF5">
        <w:t xml:space="preserve">in </w:t>
      </w:r>
      <w:r w:rsidR="00E15304" w:rsidRPr="00B64EF5">
        <w:t xml:space="preserve">the </w:t>
      </w:r>
      <w:r w:rsidR="00A268C9" w:rsidRPr="00B64EF5">
        <w:t xml:space="preserve">media </w:t>
      </w:r>
      <w:r w:rsidR="00DD5061" w:rsidRPr="00B64EF5">
        <w:t>and scientific literature</w:t>
      </w:r>
      <w:r w:rsidR="005246DE" w:rsidRPr="00B64EF5">
        <w:t xml:space="preserve"> to</w:t>
      </w:r>
      <w:r w:rsidR="005048F3" w:rsidRPr="00B64EF5">
        <w:t xml:space="preserve"> find advocates for </w:t>
      </w:r>
      <w:r w:rsidR="00A432A7" w:rsidRPr="00B64EF5">
        <w:t xml:space="preserve">being </w:t>
      </w:r>
      <w:r w:rsidR="005048F3" w:rsidRPr="00B64EF5">
        <w:t>optimistic</w:t>
      </w:r>
      <w:r w:rsidR="00E15304" w:rsidRPr="00B64EF5">
        <w:t>al</w:t>
      </w:r>
      <w:r w:rsidR="00A432A7" w:rsidRPr="00B64EF5">
        <w:t xml:space="preserve">ly </w:t>
      </w:r>
      <w:r w:rsidR="00E15304" w:rsidRPr="00B64EF5">
        <w:t>be</w:t>
      </w:r>
      <w:r w:rsidR="005B5AF2" w:rsidRPr="00B64EF5">
        <w:t>n</w:t>
      </w:r>
      <w:r w:rsidR="00E15304" w:rsidRPr="00B64EF5">
        <w:t>t</w:t>
      </w:r>
      <w:r w:rsidR="00A432A7" w:rsidRPr="00B64EF5">
        <w:t xml:space="preserve"> about </w:t>
      </w:r>
      <w:r w:rsidR="005048F3" w:rsidRPr="00B64EF5">
        <w:t>the future</w:t>
      </w:r>
      <w:r w:rsidR="00630DC1">
        <w:t xml:space="preserve"> </w:t>
      </w:r>
      <w:r w:rsidR="00EF2554" w:rsidRPr="00B64EF5">
        <w:t>(</w:t>
      </w:r>
      <w:proofErr w:type="spellStart"/>
      <w:r w:rsidR="003D2A56" w:rsidRPr="00B64EF5">
        <w:t>Leedham</w:t>
      </w:r>
      <w:proofErr w:type="spellEnd"/>
      <w:r w:rsidR="003D2A56" w:rsidRPr="00B64EF5">
        <w:t>, Meyerowitz,</w:t>
      </w:r>
      <w:r w:rsidR="003D2A56">
        <w:t xml:space="preserve"> </w:t>
      </w:r>
      <w:proofErr w:type="spellStart"/>
      <w:r w:rsidR="003D2A56">
        <w:t>Muirhead</w:t>
      </w:r>
      <w:proofErr w:type="spellEnd"/>
      <w:r w:rsidR="003D2A56">
        <w:t xml:space="preserve">, &amp; Frist, 1995; </w:t>
      </w:r>
      <w:proofErr w:type="spellStart"/>
      <w:r w:rsidR="00EA751A">
        <w:t>Scheier</w:t>
      </w:r>
      <w:proofErr w:type="spellEnd"/>
      <w:r w:rsidR="00EA751A">
        <w:t xml:space="preserve"> &amp; Carver, 1993;</w:t>
      </w:r>
      <w:r w:rsidR="00FB21BB">
        <w:t xml:space="preserve"> Seligman, 2006</w:t>
      </w:r>
      <w:r w:rsidR="003D2A56">
        <w:t xml:space="preserve">; Willard &amp; </w:t>
      </w:r>
      <w:proofErr w:type="spellStart"/>
      <w:r w:rsidR="003D2A56">
        <w:t>Gramzow</w:t>
      </w:r>
      <w:proofErr w:type="spellEnd"/>
      <w:r w:rsidR="003D2A56">
        <w:t>, 2009</w:t>
      </w:r>
      <w:r w:rsidR="006A776A">
        <w:t>)</w:t>
      </w:r>
      <w:r w:rsidR="005048F3" w:rsidRPr="006B69FD">
        <w:t>.</w:t>
      </w:r>
      <w:r w:rsidR="00583961" w:rsidRPr="00DD5061">
        <w:t xml:space="preserve"> </w:t>
      </w:r>
    </w:p>
    <w:p w14:paraId="5ED451B7" w14:textId="27E56177" w:rsidR="00B96A66" w:rsidRDefault="00955EE6" w:rsidP="001454C4">
      <w:pPr>
        <w:spacing w:line="480" w:lineRule="auto"/>
        <w:ind w:firstLine="720"/>
      </w:pPr>
      <w:r>
        <w:t xml:space="preserve">To examine whether prescriptions of optimism </w:t>
      </w:r>
      <w:r w:rsidR="00F20293">
        <w:t xml:space="preserve">are </w:t>
      </w:r>
      <w:r>
        <w:t xml:space="preserve">something that most people would endorse, </w:t>
      </w:r>
      <w:r w:rsidR="009E7F5F" w:rsidRPr="00F72456">
        <w:t>Armor</w:t>
      </w:r>
      <w:r w:rsidR="009E7F5F">
        <w:t xml:space="preserve">, Massey, </w:t>
      </w:r>
      <w:r w:rsidR="00B24671">
        <w:t>and</w:t>
      </w:r>
      <w:r w:rsidR="009E7F5F">
        <w:t xml:space="preserve"> Sackett (2008) </w:t>
      </w:r>
      <w:r w:rsidR="00E15304">
        <w:t xml:space="preserve">asked </w:t>
      </w:r>
      <w:r w:rsidR="00057310">
        <w:t xml:space="preserve">participants </w:t>
      </w:r>
      <w:r w:rsidR="003825A4">
        <w:t xml:space="preserve">how protagonists in scenarios should view their chances of success for an upcoming event. The results </w:t>
      </w:r>
      <w:r w:rsidR="004929FB">
        <w:t>favored prescriptions of optimism</w:t>
      </w:r>
      <w:r w:rsidR="00E92973">
        <w:t>. T</w:t>
      </w:r>
      <w:r w:rsidR="00E15304">
        <w:t>wo d</w:t>
      </w:r>
      <w:r w:rsidR="00E15304">
        <w:rPr>
          <w:iCs/>
        </w:rPr>
        <w:t>irect replications have supported those findings (Open Science Collaboration, 2015;</w:t>
      </w:r>
      <w:r w:rsidR="001454C4">
        <w:rPr>
          <w:iCs/>
        </w:rPr>
        <w:t xml:space="preserve"> </w:t>
      </w:r>
      <w:proofErr w:type="spellStart"/>
      <w:r w:rsidR="00E15304">
        <w:rPr>
          <w:iCs/>
        </w:rPr>
        <w:t>Tenney</w:t>
      </w:r>
      <w:proofErr w:type="spellEnd"/>
      <w:r w:rsidR="00E15304">
        <w:rPr>
          <w:iCs/>
        </w:rPr>
        <w:t xml:space="preserve"> et al., 2015). </w:t>
      </w:r>
      <w:r w:rsidR="00AD3AC0">
        <w:t>Armor et al.</w:t>
      </w:r>
      <w:r w:rsidR="00407368">
        <w:t xml:space="preserve"> (2008</w:t>
      </w:r>
      <w:r w:rsidR="00407368" w:rsidRPr="0079430B">
        <w:t>)</w:t>
      </w:r>
      <w:r w:rsidR="004929FB" w:rsidRPr="0025364E">
        <w:t xml:space="preserve"> </w:t>
      </w:r>
      <w:r w:rsidRPr="0079430B">
        <w:t xml:space="preserve">concluded that </w:t>
      </w:r>
      <w:r w:rsidRPr="0017528F">
        <w:t>“In contrast</w:t>
      </w:r>
      <w:r>
        <w:t xml:space="preserve"> to…</w:t>
      </w:r>
      <w:r w:rsidRPr="0017528F">
        <w:t>unbiased predictions, people’s prescriptions suggest that they believe optimistically biased predictions are ideal.” (p. 330).</w:t>
      </w:r>
      <w:r>
        <w:t xml:space="preserve"> The </w:t>
      </w:r>
      <w:r w:rsidR="004929FB" w:rsidRPr="0025364E">
        <w:t>paper is</w:t>
      </w:r>
      <w:r w:rsidR="00407368" w:rsidRPr="00275B76">
        <w:t xml:space="preserve"> often</w:t>
      </w:r>
      <w:r w:rsidR="004929FB" w:rsidRPr="0079430B">
        <w:t xml:space="preserve"> cited as evidence that people</w:t>
      </w:r>
      <w:r w:rsidR="00382B96" w:rsidRPr="0079430B">
        <w:t xml:space="preserve"> </w:t>
      </w:r>
      <w:r w:rsidR="00CF0E4F" w:rsidRPr="0079430B">
        <w:t xml:space="preserve">think it is better to be optimistic than </w:t>
      </w:r>
      <w:r w:rsidR="00DA162D" w:rsidRPr="0079430B">
        <w:t xml:space="preserve">accurate </w:t>
      </w:r>
      <w:r w:rsidR="00CF0E4F" w:rsidRPr="0079430B">
        <w:t>or pessimistic (</w:t>
      </w:r>
      <w:r w:rsidR="00E101C5" w:rsidRPr="0079430B">
        <w:t xml:space="preserve">e.g., </w:t>
      </w:r>
      <w:proofErr w:type="spellStart"/>
      <w:r w:rsidR="00E101C5" w:rsidRPr="0079430B">
        <w:t>Hoorens</w:t>
      </w:r>
      <w:proofErr w:type="spellEnd"/>
      <w:r w:rsidR="00E101C5" w:rsidRPr="0079430B">
        <w:t xml:space="preserve"> et al., 2017; </w:t>
      </w:r>
      <w:r w:rsidR="00CD08E8" w:rsidRPr="0079430B">
        <w:t>Shepperd, Waters, Weinstein, &amp; Klein,</w:t>
      </w:r>
      <w:r w:rsidR="00DA162D" w:rsidRPr="0079430B">
        <w:t xml:space="preserve"> 2015; </w:t>
      </w:r>
      <w:r w:rsidR="00E101C5" w:rsidRPr="0079430B">
        <w:t>Zhang &amp; Fischbach, 2010</w:t>
      </w:r>
      <w:r w:rsidR="00CF0E4F" w:rsidRPr="0079430B">
        <w:t>).</w:t>
      </w:r>
      <w:r w:rsidR="00A354D8" w:rsidRPr="0079430B">
        <w:t xml:space="preserve"> The present work, h</w:t>
      </w:r>
      <w:r w:rsidR="00CF0E4F" w:rsidRPr="0079430B">
        <w:t xml:space="preserve">owever, </w:t>
      </w:r>
      <w:r w:rsidR="00E15304" w:rsidRPr="0079430B">
        <w:t>provides a crucial clarification to this conclusion</w:t>
      </w:r>
      <w:r w:rsidR="00514B0D">
        <w:t xml:space="preserve"> </w:t>
      </w:r>
      <w:r w:rsidR="00135F82">
        <w:t xml:space="preserve">by addressing whether </w:t>
      </w:r>
      <w:r w:rsidR="001454C4">
        <w:t xml:space="preserve">prescribing optimism </w:t>
      </w:r>
      <w:r w:rsidR="00135F82">
        <w:t xml:space="preserve">also </w:t>
      </w:r>
      <w:r w:rsidR="001454C4">
        <w:t xml:space="preserve">means </w:t>
      </w:r>
      <w:r w:rsidR="00DE3015">
        <w:t xml:space="preserve">that people </w:t>
      </w:r>
      <w:r w:rsidR="001454C4">
        <w:t>prescrib</w:t>
      </w:r>
      <w:r w:rsidR="00DE3015">
        <w:t>e</w:t>
      </w:r>
      <w:r w:rsidR="001454C4">
        <w:t xml:space="preserve"> biased estimation</w:t>
      </w:r>
      <w:r w:rsidR="00135F82">
        <w:t>s</w:t>
      </w:r>
      <w:r w:rsidR="001454C4">
        <w:t xml:space="preserve"> of likelihood. </w:t>
      </w:r>
    </w:p>
    <w:p w14:paraId="53D92360" w14:textId="176C338E" w:rsidR="009E6FD1" w:rsidRPr="00377A6F" w:rsidRDefault="00022E0D" w:rsidP="00AE1D30">
      <w:pPr>
        <w:spacing w:line="480" w:lineRule="auto"/>
      </w:pPr>
      <w:r>
        <w:rPr>
          <w:b/>
          <w:bCs/>
        </w:rPr>
        <w:t>What does it mean to prescribe optimism?</w:t>
      </w:r>
    </w:p>
    <w:p w14:paraId="35B81A09" w14:textId="1F7278B3" w:rsidR="001E1BDA" w:rsidRPr="0079430B" w:rsidRDefault="00E15304" w:rsidP="002936DE">
      <w:pPr>
        <w:spacing w:line="480" w:lineRule="auto"/>
        <w:ind w:firstLine="720"/>
      </w:pPr>
      <w:r>
        <w:t xml:space="preserve">For </w:t>
      </w:r>
      <w:r w:rsidR="00AD5A0E">
        <w:t xml:space="preserve">the </w:t>
      </w:r>
      <w:r w:rsidR="00407368">
        <w:t xml:space="preserve">four scenarios used in </w:t>
      </w:r>
      <w:r w:rsidR="001E1BDA">
        <w:t>Armor et al</w:t>
      </w:r>
      <w:r w:rsidR="00407368">
        <w:t>. (2008)</w:t>
      </w:r>
      <w:r>
        <w:t>, participants were</w:t>
      </w:r>
      <w:r w:rsidR="00594B41">
        <w:t xml:space="preserve"> asked, “</w:t>
      </w:r>
      <w:r w:rsidR="00F049CB">
        <w:t>…</w:t>
      </w:r>
      <w:r w:rsidR="00594B41">
        <w:t xml:space="preserve">would it be best for [protagonist] to be optimistic or pessimistic about [the desired </w:t>
      </w:r>
      <w:proofErr w:type="gramStart"/>
      <w:r w:rsidR="00594B41">
        <w:t>outcome]…</w:t>
      </w:r>
      <w:proofErr w:type="gramEnd"/>
      <w:r w:rsidR="00594B41">
        <w:t xml:space="preserve">” </w:t>
      </w:r>
      <w:r w:rsidR="001E1BDA">
        <w:t xml:space="preserve"> </w:t>
      </w:r>
      <w:r w:rsidR="001E1BDA">
        <w:lastRenderedPageBreak/>
        <w:t xml:space="preserve">Reponses were made on scales that had </w:t>
      </w:r>
      <w:r w:rsidR="001E1BDA" w:rsidRPr="0023313B">
        <w:rPr>
          <w:i/>
          <w:iCs/>
        </w:rPr>
        <w:t>extremely pessimistic</w:t>
      </w:r>
      <w:r w:rsidR="001E1BDA">
        <w:t xml:space="preserve"> and </w:t>
      </w:r>
      <w:r w:rsidR="001E1BDA" w:rsidRPr="0023313B">
        <w:rPr>
          <w:i/>
          <w:iCs/>
        </w:rPr>
        <w:t>extremely optimistic</w:t>
      </w:r>
      <w:r w:rsidR="001E1BDA">
        <w:rPr>
          <w:iCs/>
        </w:rPr>
        <w:t xml:space="preserve"> as endpoint-anchor labels</w:t>
      </w:r>
      <w:r w:rsidR="00F1100C">
        <w:rPr>
          <w:iCs/>
        </w:rPr>
        <w:t>, with t</w:t>
      </w:r>
      <w:r w:rsidR="001E1BDA">
        <w:rPr>
          <w:iCs/>
        </w:rPr>
        <w:t xml:space="preserve">he </w:t>
      </w:r>
      <w:r w:rsidR="00407368">
        <w:rPr>
          <w:iCs/>
        </w:rPr>
        <w:t xml:space="preserve">midpoint </w:t>
      </w:r>
      <w:r w:rsidR="001E1BDA">
        <w:rPr>
          <w:iCs/>
        </w:rPr>
        <w:t xml:space="preserve">labeled </w:t>
      </w:r>
      <w:r w:rsidR="00F1100C">
        <w:rPr>
          <w:iCs/>
        </w:rPr>
        <w:t>as</w:t>
      </w:r>
      <w:r w:rsidR="001E1BDA">
        <w:rPr>
          <w:iCs/>
        </w:rPr>
        <w:t xml:space="preserve"> </w:t>
      </w:r>
      <w:r w:rsidR="001E1BDA" w:rsidRPr="00D665C1">
        <w:rPr>
          <w:i/>
          <w:iCs/>
        </w:rPr>
        <w:t>accurate</w:t>
      </w:r>
      <w:r w:rsidR="00FA41C8">
        <w:rPr>
          <w:iCs/>
        </w:rPr>
        <w:t>. Armor et al</w:t>
      </w:r>
      <w:r w:rsidR="00F1100C">
        <w:rPr>
          <w:iCs/>
        </w:rPr>
        <w:t xml:space="preserve">. (2008) </w:t>
      </w:r>
      <w:r w:rsidR="00FA41C8">
        <w:rPr>
          <w:iCs/>
        </w:rPr>
        <w:t xml:space="preserve">also </w:t>
      </w:r>
      <w:r w:rsidR="00F1100C">
        <w:rPr>
          <w:iCs/>
        </w:rPr>
        <w:t xml:space="preserve">tested </w:t>
      </w:r>
      <w:r w:rsidR="00FA41C8">
        <w:rPr>
          <w:iCs/>
        </w:rPr>
        <w:t>moderators</w:t>
      </w:r>
      <w:r w:rsidR="00F1100C">
        <w:rPr>
          <w:iCs/>
        </w:rPr>
        <w:t>, s</w:t>
      </w:r>
      <w:r w:rsidR="00E101C5">
        <w:rPr>
          <w:iCs/>
        </w:rPr>
        <w:t xml:space="preserve">pecifically whether the protagonist had agency over the upcoming decision, </w:t>
      </w:r>
      <w:r w:rsidR="00127934">
        <w:rPr>
          <w:iCs/>
        </w:rPr>
        <w:t xml:space="preserve">whether </w:t>
      </w:r>
      <w:r w:rsidR="002E26C1">
        <w:rPr>
          <w:iCs/>
        </w:rPr>
        <w:t>the decision was already made</w:t>
      </w:r>
      <w:r w:rsidR="00E101C5">
        <w:rPr>
          <w:iCs/>
        </w:rPr>
        <w:t xml:space="preserve">, and </w:t>
      </w:r>
      <w:r w:rsidR="00127934">
        <w:rPr>
          <w:iCs/>
        </w:rPr>
        <w:t xml:space="preserve">whether </w:t>
      </w:r>
      <w:r w:rsidR="00E101C5">
        <w:rPr>
          <w:iCs/>
        </w:rPr>
        <w:t xml:space="preserve">they had control over </w:t>
      </w:r>
      <w:r w:rsidR="00F1100C">
        <w:rPr>
          <w:iCs/>
        </w:rPr>
        <w:t>the</w:t>
      </w:r>
      <w:r w:rsidR="00E101C5">
        <w:rPr>
          <w:iCs/>
        </w:rPr>
        <w:t xml:space="preserve"> </w:t>
      </w:r>
      <w:r w:rsidR="00E101C5" w:rsidRPr="0079430B">
        <w:rPr>
          <w:iCs/>
        </w:rPr>
        <w:t>outcome.</w:t>
      </w:r>
      <w:r w:rsidR="00F1100C" w:rsidRPr="0025364E">
        <w:rPr>
          <w:iCs/>
        </w:rPr>
        <w:t xml:space="preserve"> </w:t>
      </w:r>
      <w:r w:rsidR="00FA41C8" w:rsidRPr="00275B76">
        <w:rPr>
          <w:iCs/>
        </w:rPr>
        <w:t xml:space="preserve">These </w:t>
      </w:r>
      <w:r w:rsidR="00F049CB" w:rsidRPr="0079430B">
        <w:rPr>
          <w:iCs/>
        </w:rPr>
        <w:t>moderators ha</w:t>
      </w:r>
      <w:r w:rsidR="00BE156B" w:rsidRPr="0079430B">
        <w:rPr>
          <w:iCs/>
        </w:rPr>
        <w:t>d</w:t>
      </w:r>
      <w:r w:rsidR="00F049CB" w:rsidRPr="0079430B">
        <w:rPr>
          <w:iCs/>
        </w:rPr>
        <w:t xml:space="preserve"> some influence, </w:t>
      </w:r>
      <w:r w:rsidR="00FA41C8" w:rsidRPr="0079430B">
        <w:rPr>
          <w:iCs/>
        </w:rPr>
        <w:t xml:space="preserve">but the tendency to prescribe optimism was </w:t>
      </w:r>
      <w:r w:rsidR="00E101C5" w:rsidRPr="0079430B">
        <w:rPr>
          <w:iCs/>
        </w:rPr>
        <w:t>significant regardless of the moderators.</w:t>
      </w:r>
      <w:r w:rsidR="002A7CB6" w:rsidRPr="0079430B">
        <w:rPr>
          <w:iCs/>
        </w:rPr>
        <w:t xml:space="preserve">  </w:t>
      </w:r>
      <w:r w:rsidR="00FA41C8" w:rsidRPr="0079430B">
        <w:rPr>
          <w:iCs/>
        </w:rPr>
        <w:t xml:space="preserve">   </w:t>
      </w:r>
    </w:p>
    <w:p w14:paraId="08ACE262" w14:textId="527F6270" w:rsidR="00377A6F" w:rsidRDefault="00E15304" w:rsidP="00F465EE">
      <w:pPr>
        <w:widowControl w:val="0"/>
        <w:spacing w:line="480" w:lineRule="auto"/>
        <w:ind w:firstLine="720"/>
      </w:pPr>
      <w:r w:rsidRPr="00D80DF6">
        <w:rPr>
          <w:iCs/>
        </w:rPr>
        <w:t xml:space="preserve">Although the findings from Armor et al. (2008) show that </w:t>
      </w:r>
      <w:r w:rsidRPr="00D80DF6">
        <w:t>people</w:t>
      </w:r>
      <w:r w:rsidR="00AE457F">
        <w:t xml:space="preserve"> value </w:t>
      </w:r>
      <w:r w:rsidR="001C5219">
        <w:t xml:space="preserve">being </w:t>
      </w:r>
      <w:r w:rsidR="001C5219" w:rsidRPr="00D80DF6">
        <w:rPr>
          <w:i/>
          <w:iCs/>
        </w:rPr>
        <w:t>optimistic</w:t>
      </w:r>
      <w:r w:rsidRPr="00D80DF6">
        <w:t xml:space="preserve">, </w:t>
      </w:r>
      <w:r w:rsidR="00DC4D48">
        <w:t xml:space="preserve">the meaning and limits of </w:t>
      </w:r>
      <w:r w:rsidRPr="00D80DF6">
        <w:t>this conclusion</w:t>
      </w:r>
      <w:r w:rsidR="00DC4D48">
        <w:t xml:space="preserve"> require more examination. </w:t>
      </w:r>
      <w:r w:rsidR="00F0053C" w:rsidRPr="001C5219">
        <w:t xml:space="preserve">The </w:t>
      </w:r>
      <w:r w:rsidR="009F1B46">
        <w:t>definitions</w:t>
      </w:r>
      <w:r w:rsidR="00F0053C" w:rsidRPr="001C5219">
        <w:t xml:space="preserve"> of</w:t>
      </w:r>
      <w:r w:rsidR="009F1B46">
        <w:t xml:space="preserve"> </w:t>
      </w:r>
      <w:r w:rsidR="00F0053C" w:rsidRPr="00484118">
        <w:t>p</w:t>
      </w:r>
      <w:r w:rsidR="00F0053C" w:rsidRPr="00F465EE">
        <w:t>sychological and emotion constructs c</w:t>
      </w:r>
      <w:r w:rsidR="00F0053C" w:rsidRPr="00192F9C">
        <w:t>an be vagu</w:t>
      </w:r>
      <w:r w:rsidR="00F0053C" w:rsidRPr="0025534F">
        <w:t xml:space="preserve">e, and </w:t>
      </w:r>
      <w:r w:rsidR="00256EF8" w:rsidRPr="0025534F">
        <w:t>thi</w:t>
      </w:r>
      <w:r w:rsidR="00256EF8" w:rsidRPr="007C3D9B">
        <w:t xml:space="preserve">s </w:t>
      </w:r>
      <w:r w:rsidR="00F0053C" w:rsidRPr="007C3D9B">
        <w:t xml:space="preserve">can </w:t>
      </w:r>
      <w:r w:rsidR="00F0053C" w:rsidRPr="00DA7CC2">
        <w:t xml:space="preserve">be </w:t>
      </w:r>
      <w:r w:rsidR="00F0053C" w:rsidRPr="00D83C89">
        <w:t>conse</w:t>
      </w:r>
      <w:r w:rsidR="00256EF8" w:rsidRPr="00D83C89">
        <w:t>quenti</w:t>
      </w:r>
      <w:r w:rsidR="00256EF8" w:rsidRPr="006122F3">
        <w:t>al f</w:t>
      </w:r>
      <w:r w:rsidR="00256EF8" w:rsidRPr="001F6A74">
        <w:t xml:space="preserve">or </w:t>
      </w:r>
      <w:r w:rsidR="00F0053C" w:rsidRPr="001C5219">
        <w:t>drawing conclusi</w:t>
      </w:r>
      <w:r w:rsidR="00256EF8" w:rsidRPr="001C5219">
        <w:t>o</w:t>
      </w:r>
      <w:r w:rsidR="00F0053C" w:rsidRPr="001C5219">
        <w:t>ns f</w:t>
      </w:r>
      <w:r w:rsidR="00256EF8" w:rsidRPr="001C5219">
        <w:t>rom studies that rely on lay interpretations of those constructs</w:t>
      </w:r>
      <w:r w:rsidR="00C94FB1" w:rsidRPr="00D80DF6">
        <w:t xml:space="preserve"> (e.g., </w:t>
      </w:r>
      <w:r w:rsidR="00C94FB1">
        <w:t xml:space="preserve">Barrett, 2006; Lucas, </w:t>
      </w:r>
      <w:r w:rsidR="00E95405">
        <w:t>2018</w:t>
      </w:r>
      <w:r w:rsidR="00C94FB1">
        <w:t>; Moore &amp; Schatz, 2017).</w:t>
      </w:r>
      <w:r w:rsidR="00F465EE">
        <w:t xml:space="preserve">  </w:t>
      </w:r>
      <w:r w:rsidR="00001FC6">
        <w:t>“</w:t>
      </w:r>
      <w:r w:rsidR="00192F9C">
        <w:t>O</w:t>
      </w:r>
      <w:r w:rsidR="001C5219">
        <w:t>ptimistic</w:t>
      </w:r>
      <w:r w:rsidR="00001FC6">
        <w:t xml:space="preserve">” </w:t>
      </w:r>
      <w:r w:rsidR="00C50179">
        <w:t xml:space="preserve">could </w:t>
      </w:r>
      <w:r w:rsidR="00001FC6">
        <w:t>have various interpretations</w:t>
      </w:r>
      <w:r w:rsidR="00DC48AF">
        <w:t>.</w:t>
      </w:r>
      <w:r w:rsidR="00001FC6">
        <w:t xml:space="preserve"> </w:t>
      </w:r>
      <w:r w:rsidR="00C50179">
        <w:t>Depending on circumstances, b</w:t>
      </w:r>
      <w:r w:rsidR="00001FC6">
        <w:t xml:space="preserve">eing optimistic might refer to believing one’s chances of </w:t>
      </w:r>
      <w:r w:rsidR="00E87736">
        <w:t xml:space="preserve">experiencing </w:t>
      </w:r>
      <w:r w:rsidR="00001FC6">
        <w:t xml:space="preserve">a desired event are above </w:t>
      </w:r>
      <w:r w:rsidR="00E87736">
        <w:t>some</w:t>
      </w:r>
      <w:r w:rsidR="00001FC6">
        <w:t xml:space="preserve"> baseline</w:t>
      </w:r>
      <w:r w:rsidR="00C50179">
        <w:t xml:space="preserve"> (e.g., </w:t>
      </w:r>
      <w:r w:rsidR="00001FC6">
        <w:t xml:space="preserve">better than 50-50 chance, better than </w:t>
      </w:r>
      <w:r w:rsidR="00E87736">
        <w:t>before, or</w:t>
      </w:r>
      <w:r w:rsidR="00001FC6">
        <w:t xml:space="preserve"> better than other people’s chances</w:t>
      </w:r>
      <w:r w:rsidR="00C50179">
        <w:t>)</w:t>
      </w:r>
      <w:r w:rsidR="00E87736">
        <w:t xml:space="preserve">. </w:t>
      </w:r>
      <w:proofErr w:type="gramStart"/>
      <w:r w:rsidR="00001FC6" w:rsidRPr="00BD55D0">
        <w:t>Or</w:t>
      </w:r>
      <w:r w:rsidR="00001FC6">
        <w:t>,</w:t>
      </w:r>
      <w:proofErr w:type="gramEnd"/>
      <w:r w:rsidR="00001FC6">
        <w:t xml:space="preserve"> being optimistic could refer to a feeling or intuition about how an event will turn out, more so than about one’s estimate of an event’s chances</w:t>
      </w:r>
      <w:r w:rsidR="00014C3B">
        <w:t xml:space="preserve"> </w:t>
      </w:r>
      <w:r w:rsidR="00014C3B" w:rsidRPr="006B69FD">
        <w:t>(</w:t>
      </w:r>
      <w:r w:rsidR="00BD55D0" w:rsidRPr="006B69FD">
        <w:t>e.g</w:t>
      </w:r>
      <w:r w:rsidR="00AB3199">
        <w:t xml:space="preserve">., </w:t>
      </w:r>
      <w:r w:rsidR="005F37FD">
        <w:t xml:space="preserve">Carver, </w:t>
      </w:r>
      <w:proofErr w:type="spellStart"/>
      <w:r w:rsidR="005F37FD">
        <w:t>Scheier</w:t>
      </w:r>
      <w:proofErr w:type="spellEnd"/>
      <w:r w:rsidR="005F37FD">
        <w:t>, &amp; Segerstrom, 2010</w:t>
      </w:r>
      <w:r w:rsidR="00014C3B" w:rsidRPr="006B69FD">
        <w:t>)</w:t>
      </w:r>
      <w:r w:rsidR="00001FC6" w:rsidRPr="006B69FD">
        <w:t>.</w:t>
      </w:r>
      <w:r w:rsidR="00001FC6">
        <w:t xml:space="preserve"> </w:t>
      </w:r>
      <w:proofErr w:type="gramStart"/>
      <w:r w:rsidR="00001FC6">
        <w:t>Or,</w:t>
      </w:r>
      <w:proofErr w:type="gramEnd"/>
      <w:r w:rsidR="00001FC6">
        <w:t xml:space="preserve"> it could refer to one’s demeanor or general directional </w:t>
      </w:r>
      <w:r w:rsidR="00001FC6" w:rsidRPr="00BD55D0">
        <w:t>orientation</w:t>
      </w:r>
      <w:r w:rsidR="00014C3B" w:rsidRPr="00BD55D0">
        <w:t xml:space="preserve"> </w:t>
      </w:r>
      <w:r w:rsidR="00014C3B" w:rsidRPr="006B69FD">
        <w:t>(</w:t>
      </w:r>
      <w:r w:rsidR="004A7575">
        <w:t xml:space="preserve">Hazlett, </w:t>
      </w:r>
      <w:proofErr w:type="spellStart"/>
      <w:r w:rsidR="004A7575">
        <w:t>Molden</w:t>
      </w:r>
      <w:proofErr w:type="spellEnd"/>
      <w:r w:rsidR="004A7575">
        <w:t xml:space="preserve">, &amp; Sackett, 2011; </w:t>
      </w:r>
      <w:r w:rsidR="00BD55D0">
        <w:t xml:space="preserve">Peterson, </w:t>
      </w:r>
      <w:r w:rsidR="00BD55D0" w:rsidRPr="00BD55D0">
        <w:t>2000</w:t>
      </w:r>
      <w:r w:rsidR="00014C3B" w:rsidRPr="006B69FD">
        <w:t>)</w:t>
      </w:r>
      <w:r w:rsidR="00001FC6" w:rsidRPr="00BD55D0">
        <w:t>.</w:t>
      </w:r>
      <w:r w:rsidR="00001FC6">
        <w:t xml:space="preserve"> Telling someone to be optimistic might be similar to saying “it’s a </w:t>
      </w:r>
      <w:r w:rsidR="00AF1F17">
        <w:t>good</w:t>
      </w:r>
      <w:r w:rsidR="00001FC6">
        <w:t xml:space="preserve"> possibility,”</w:t>
      </w:r>
      <w:r w:rsidR="0039700C">
        <w:t xml:space="preserve"> or</w:t>
      </w:r>
      <w:r w:rsidR="00001FC6">
        <w:t xml:space="preserve"> “focus on the positive</w:t>
      </w:r>
      <w:r w:rsidR="0039700C">
        <w:t>.</w:t>
      </w:r>
      <w:r w:rsidR="00001FC6">
        <w:t xml:space="preserve">” </w:t>
      </w:r>
    </w:p>
    <w:p w14:paraId="1C01D0B0" w14:textId="356D75BD" w:rsidR="00247D9F" w:rsidRDefault="00982436" w:rsidP="00D83C89">
      <w:pPr>
        <w:widowControl w:val="0"/>
        <w:spacing w:line="480" w:lineRule="auto"/>
        <w:ind w:firstLine="720"/>
      </w:pPr>
      <w:r>
        <w:t xml:space="preserve">Given the potential interpretations of </w:t>
      </w:r>
      <w:r w:rsidR="007C3D9B">
        <w:t xml:space="preserve">the terms </w:t>
      </w:r>
      <w:r w:rsidR="001C5219">
        <w:t>“</w:t>
      </w:r>
      <w:r>
        <w:t>optimistic”</w:t>
      </w:r>
      <w:r w:rsidR="00094EC2">
        <w:t xml:space="preserve"> and</w:t>
      </w:r>
      <w:r w:rsidR="007C3D9B">
        <w:t xml:space="preserve"> “pessimistic,” and</w:t>
      </w:r>
      <w:r w:rsidR="00094EC2">
        <w:t xml:space="preserve"> given</w:t>
      </w:r>
      <w:r w:rsidR="00094EC2" w:rsidRPr="00094EC2">
        <w:rPr>
          <w:iCs/>
        </w:rPr>
        <w:t xml:space="preserve"> </w:t>
      </w:r>
      <w:r w:rsidR="00094EC2" w:rsidRPr="0017528F">
        <w:rPr>
          <w:iCs/>
        </w:rPr>
        <w:t>Armor et al.</w:t>
      </w:r>
      <w:r w:rsidR="00094EC2">
        <w:rPr>
          <w:iCs/>
        </w:rPr>
        <w:t>’s</w:t>
      </w:r>
      <w:r w:rsidR="00094EC2" w:rsidRPr="0017528F">
        <w:rPr>
          <w:iCs/>
        </w:rPr>
        <w:t xml:space="preserve"> (2008)</w:t>
      </w:r>
      <w:r w:rsidR="00094EC2">
        <w:rPr>
          <w:iCs/>
        </w:rPr>
        <w:t xml:space="preserve"> reliance on </w:t>
      </w:r>
      <w:r w:rsidR="007C3D9B">
        <w:rPr>
          <w:iCs/>
        </w:rPr>
        <w:t xml:space="preserve">those </w:t>
      </w:r>
      <w:r w:rsidR="00484118">
        <w:rPr>
          <w:iCs/>
        </w:rPr>
        <w:t xml:space="preserve">terms, </w:t>
      </w:r>
      <w:r w:rsidR="00192F9C">
        <w:rPr>
          <w:iCs/>
        </w:rPr>
        <w:t xml:space="preserve">we thought it was </w:t>
      </w:r>
      <w:r w:rsidR="00C2485E">
        <w:rPr>
          <w:iCs/>
        </w:rPr>
        <w:t xml:space="preserve">important </w:t>
      </w:r>
      <w:r w:rsidR="00192F9C">
        <w:rPr>
          <w:iCs/>
        </w:rPr>
        <w:t xml:space="preserve">to </w:t>
      </w:r>
      <w:r w:rsidR="00C2485E">
        <w:rPr>
          <w:iCs/>
        </w:rPr>
        <w:t>test</w:t>
      </w:r>
      <w:r w:rsidR="00192F9C">
        <w:rPr>
          <w:iCs/>
        </w:rPr>
        <w:t xml:space="preserve"> prescriptions</w:t>
      </w:r>
      <w:r w:rsidR="0025534F">
        <w:rPr>
          <w:iCs/>
        </w:rPr>
        <w:t xml:space="preserve"> without using those particular terms</w:t>
      </w:r>
      <w:r w:rsidR="00192F9C">
        <w:rPr>
          <w:iCs/>
        </w:rPr>
        <w:t xml:space="preserve">. Our </w:t>
      </w:r>
      <w:r w:rsidR="0025534F">
        <w:rPr>
          <w:iCs/>
        </w:rPr>
        <w:t>specific</w:t>
      </w:r>
      <w:r w:rsidR="00192F9C">
        <w:rPr>
          <w:iCs/>
        </w:rPr>
        <w:t xml:space="preserve"> interest was in the possibility that </w:t>
      </w:r>
      <w:r w:rsidR="009D255A">
        <w:rPr>
          <w:iCs/>
        </w:rPr>
        <w:t xml:space="preserve">the findings from </w:t>
      </w:r>
      <w:r w:rsidR="00192F9C">
        <w:rPr>
          <w:iCs/>
        </w:rPr>
        <w:t>Armor</w:t>
      </w:r>
      <w:r w:rsidR="009D255A">
        <w:rPr>
          <w:iCs/>
        </w:rPr>
        <w:t xml:space="preserve"> </w:t>
      </w:r>
      <w:r w:rsidR="00A1104C">
        <w:rPr>
          <w:iCs/>
        </w:rPr>
        <w:t>et al. d</w:t>
      </w:r>
      <w:r w:rsidR="00472D9D">
        <w:rPr>
          <w:iCs/>
        </w:rPr>
        <w:t>id not</w:t>
      </w:r>
      <w:r w:rsidR="00EB5FEC">
        <w:rPr>
          <w:iCs/>
        </w:rPr>
        <w:t xml:space="preserve"> </w:t>
      </w:r>
      <w:r w:rsidR="00192F9C">
        <w:rPr>
          <w:iCs/>
        </w:rPr>
        <w:t xml:space="preserve">necessarily mean that people would also </w:t>
      </w:r>
      <w:r w:rsidR="00192F9C">
        <w:t xml:space="preserve">prescribe being biased in </w:t>
      </w:r>
      <w:r w:rsidR="00C2485E">
        <w:lastRenderedPageBreak/>
        <w:t>over</w:t>
      </w:r>
      <w:r w:rsidR="00192F9C">
        <w:t>estimating likelihood</w:t>
      </w:r>
      <w:r w:rsidR="00C2485E">
        <w:t>s for desired outcome</w:t>
      </w:r>
      <w:r w:rsidR="009D255A">
        <w:t>s</w:t>
      </w:r>
      <w:r w:rsidR="00192F9C">
        <w:t>.</w:t>
      </w:r>
      <w:r w:rsidR="009D255A">
        <w:t xml:space="preserve">  Armor et al. didn’t specifically ask how people should estimate likelihoods. </w:t>
      </w:r>
      <w:r w:rsidR="00BA1CB8">
        <w:t xml:space="preserve">In the next section, we </w:t>
      </w:r>
      <w:r w:rsidR="00C2485E">
        <w:t xml:space="preserve">briefly </w:t>
      </w:r>
      <w:r w:rsidR="00BA1CB8">
        <w:t xml:space="preserve">discuss how theories and prior research point in conflicting directions </w:t>
      </w:r>
      <w:r w:rsidR="0056475F">
        <w:t>on</w:t>
      </w:r>
      <w:r w:rsidR="00BA1CB8">
        <w:t xml:space="preserve"> </w:t>
      </w:r>
      <w:r w:rsidR="00247D9F">
        <w:t>whether people would prescribe</w:t>
      </w:r>
      <w:r w:rsidR="00C2485E">
        <w:t xml:space="preserve"> such bias in likelihood estimates.  </w:t>
      </w:r>
    </w:p>
    <w:p w14:paraId="09B99BF1" w14:textId="5DFCC68D" w:rsidR="00847372" w:rsidRPr="0048618D" w:rsidRDefault="00247D9F" w:rsidP="006122F3">
      <w:pPr>
        <w:spacing w:line="480" w:lineRule="auto"/>
      </w:pPr>
      <w:r w:rsidRPr="0048618D">
        <w:rPr>
          <w:b/>
          <w:bCs/>
        </w:rPr>
        <w:t xml:space="preserve">Conflicting </w:t>
      </w:r>
      <w:r w:rsidR="00E67BAA">
        <w:rPr>
          <w:b/>
          <w:bCs/>
        </w:rPr>
        <w:t>P</w:t>
      </w:r>
      <w:r w:rsidR="0051172D">
        <w:rPr>
          <w:b/>
          <w:bCs/>
        </w:rPr>
        <w:t>erspectives</w:t>
      </w:r>
    </w:p>
    <w:p w14:paraId="683B8696" w14:textId="527BB619" w:rsidR="0004161C" w:rsidRDefault="00EB4BC5" w:rsidP="00D80DF6">
      <w:pPr>
        <w:widowControl w:val="0"/>
        <w:spacing w:line="480" w:lineRule="auto"/>
        <w:ind w:firstLine="720"/>
      </w:pPr>
      <w:r w:rsidRPr="0048618D">
        <w:t xml:space="preserve">One could argue that because people generally associate optimism with </w:t>
      </w:r>
      <w:r w:rsidR="0047052A" w:rsidRPr="00D80DF6">
        <w:t>positive</w:t>
      </w:r>
      <w:r w:rsidRPr="0048618D">
        <w:t xml:space="preserve"> outcomes, they would endorse </w:t>
      </w:r>
      <w:r w:rsidR="00C2485E" w:rsidRPr="00D80DF6">
        <w:t>overestimating the likelihood of a desired outcome</w:t>
      </w:r>
      <w:r w:rsidR="00145AA7" w:rsidRPr="00D80DF6">
        <w:t xml:space="preserve"> (</w:t>
      </w:r>
      <w:r w:rsidR="008417D0" w:rsidRPr="00D80DF6">
        <w:t xml:space="preserve">i.e., misestimating in an optimistic direction). </w:t>
      </w:r>
      <w:r w:rsidR="0047052A" w:rsidRPr="00D80DF6">
        <w:t>T</w:t>
      </w:r>
      <w:r w:rsidR="00C2485E" w:rsidRPr="00D80DF6">
        <w:t xml:space="preserve">hey might have some </w:t>
      </w:r>
      <w:r w:rsidR="0047052A" w:rsidRPr="00D80DF6">
        <w:t xml:space="preserve">awareness that optimism can be important for </w:t>
      </w:r>
      <w:r w:rsidR="00862D88">
        <w:t xml:space="preserve">motivating behavior </w:t>
      </w:r>
      <w:r w:rsidR="0047052A">
        <w:t xml:space="preserve">that influences outcomes </w:t>
      </w:r>
      <w:r w:rsidR="00862D88">
        <w:t>(</w:t>
      </w:r>
      <w:proofErr w:type="spellStart"/>
      <w:r w:rsidR="00862D88">
        <w:t>Tenney</w:t>
      </w:r>
      <w:proofErr w:type="spellEnd"/>
      <w:r w:rsidR="00862D88">
        <w:t xml:space="preserve"> et al., 2015; Zhang &amp; </w:t>
      </w:r>
      <w:proofErr w:type="spellStart"/>
      <w:r w:rsidR="00862D88">
        <w:t>Fishbach</w:t>
      </w:r>
      <w:proofErr w:type="spellEnd"/>
      <w:r w:rsidR="00862D88">
        <w:t>, 2010)</w:t>
      </w:r>
      <w:r w:rsidR="0047052A">
        <w:t xml:space="preserve">, and they might </w:t>
      </w:r>
      <w:r w:rsidR="00941585">
        <w:t>over</w:t>
      </w:r>
      <w:r w:rsidR="00862D88">
        <w:t>generalize this</w:t>
      </w:r>
      <w:r w:rsidR="0047052A">
        <w:t xml:space="preserve"> </w:t>
      </w:r>
      <w:r w:rsidR="00941585">
        <w:t xml:space="preserve">to </w:t>
      </w:r>
      <w:r w:rsidR="00862D88">
        <w:t>prescriptions</w:t>
      </w:r>
      <w:r w:rsidR="00941585">
        <w:t xml:space="preserve"> </w:t>
      </w:r>
      <w:r w:rsidR="0047052A">
        <w:t xml:space="preserve">about likelihood </w:t>
      </w:r>
      <w:r w:rsidR="00941585">
        <w:t>estimates</w:t>
      </w:r>
      <w:r w:rsidR="0047052A">
        <w:t xml:space="preserve">—even for </w:t>
      </w:r>
      <w:r w:rsidR="00941585">
        <w:t xml:space="preserve">uncontrollable outcomes. </w:t>
      </w:r>
      <w:r w:rsidR="0004161C">
        <w:t>People might also</w:t>
      </w:r>
      <w:r w:rsidR="008417D0">
        <w:t xml:space="preserve"> associate</w:t>
      </w:r>
      <w:r w:rsidR="00E9712E">
        <w:t xml:space="preserve"> </w:t>
      </w:r>
      <w:r w:rsidR="0004161C">
        <w:t>positive characteristics with people who are optimistic or confident</w:t>
      </w:r>
      <w:r w:rsidR="00797619">
        <w:t xml:space="preserve"> (e.g., enjoying experiences more</w:t>
      </w:r>
      <w:r w:rsidR="0056486F">
        <w:t xml:space="preserve">, </w:t>
      </w:r>
      <w:r w:rsidR="00797619">
        <w:t xml:space="preserve">being more socially accepted; Armor &amp; Taylor, 2002; </w:t>
      </w:r>
      <w:proofErr w:type="spellStart"/>
      <w:r w:rsidR="00797619" w:rsidRPr="006B69FD">
        <w:t>Helweg</w:t>
      </w:r>
      <w:proofErr w:type="spellEnd"/>
      <w:r w:rsidR="00797619" w:rsidRPr="006B69FD">
        <w:t>-Larsen et al., 2002</w:t>
      </w:r>
      <w:r w:rsidR="00797619">
        <w:t xml:space="preserve">; </w:t>
      </w:r>
      <w:proofErr w:type="spellStart"/>
      <w:r w:rsidR="00797619">
        <w:t>Klaaren</w:t>
      </w:r>
      <w:proofErr w:type="spellEnd"/>
      <w:r w:rsidR="00797619">
        <w:t>, Hodges, &amp; Wilson, 1994</w:t>
      </w:r>
      <w:r w:rsidR="00CF32EB">
        <w:t>;</w:t>
      </w:r>
      <w:r w:rsidR="00797619">
        <w:t xml:space="preserve"> Shepperd, </w:t>
      </w:r>
      <w:proofErr w:type="spellStart"/>
      <w:r w:rsidR="00797619">
        <w:t>Falkenstein</w:t>
      </w:r>
      <w:proofErr w:type="spellEnd"/>
      <w:r w:rsidR="00797619">
        <w:t xml:space="preserve">, &amp; Sweeny, 2018). They </w:t>
      </w:r>
      <w:r w:rsidR="0004161C">
        <w:t xml:space="preserve">might then believe that being optimistically biased will bring about those </w:t>
      </w:r>
      <w:r w:rsidR="00E06E82">
        <w:t>characteristics</w:t>
      </w:r>
      <w:r w:rsidR="0004161C">
        <w:t>.</w:t>
      </w:r>
      <w:r w:rsidR="00797619">
        <w:t xml:space="preserve"> Finally, believing there is a high likelihood of a positive outcome</w:t>
      </w:r>
      <w:r w:rsidR="00E06E82">
        <w:t xml:space="preserve"> might be viewed as a </w:t>
      </w:r>
      <w:r w:rsidR="00797619">
        <w:t>pleasurable anticipation</w:t>
      </w:r>
      <w:r w:rsidR="00E06E82">
        <w:t xml:space="preserve"> (itself a source of experienced utility; </w:t>
      </w:r>
      <w:proofErr w:type="spellStart"/>
      <w:r w:rsidR="00E06E82">
        <w:t>Morewedge</w:t>
      </w:r>
      <w:proofErr w:type="spellEnd"/>
      <w:r w:rsidR="00E06E82">
        <w:t>, 2015)</w:t>
      </w:r>
    </w:p>
    <w:p w14:paraId="7B990872" w14:textId="6EBB4C5E" w:rsidR="003E1EA2" w:rsidRDefault="00380623" w:rsidP="00377A6F">
      <w:pPr>
        <w:widowControl w:val="0"/>
        <w:spacing w:line="480" w:lineRule="auto"/>
        <w:ind w:firstLine="720"/>
      </w:pPr>
      <w:r>
        <w:t xml:space="preserve">However, </w:t>
      </w:r>
      <w:r w:rsidR="003E5461">
        <w:t>underestimat</w:t>
      </w:r>
      <w:r w:rsidR="003E5461" w:rsidRPr="00F779A2">
        <w:t>ion</w:t>
      </w:r>
      <w:r>
        <w:t xml:space="preserve"> also has appeal. </w:t>
      </w:r>
      <w:r>
        <w:rPr>
          <w:i/>
        </w:rPr>
        <w:t>D</w:t>
      </w:r>
      <w:r w:rsidR="00DE5B26" w:rsidRPr="00AB05D6">
        <w:rPr>
          <w:i/>
        </w:rPr>
        <w:t>efensive pessimism</w:t>
      </w:r>
      <w:r w:rsidR="00DE5B26">
        <w:t xml:space="preserve"> describes people who </w:t>
      </w:r>
      <w:r w:rsidR="003B5F37">
        <w:t xml:space="preserve">purposely make </w:t>
      </w:r>
      <w:r w:rsidR="003E5461" w:rsidRPr="00F779A2">
        <w:t>pessimistic predictions</w:t>
      </w:r>
      <w:r w:rsidR="00861093">
        <w:t xml:space="preserve"> about performance outcomes</w:t>
      </w:r>
      <w:r w:rsidR="00B63395">
        <w:t xml:space="preserve"> </w:t>
      </w:r>
      <w:r w:rsidR="003B5F37">
        <w:t xml:space="preserve">to motivate themselves </w:t>
      </w:r>
      <w:r w:rsidR="003E5461" w:rsidRPr="00F779A2">
        <w:t xml:space="preserve">to </w:t>
      </w:r>
      <w:r w:rsidR="003B5F37">
        <w:t xml:space="preserve">achieve a desired outcome </w:t>
      </w:r>
      <w:r w:rsidR="00BF605B" w:rsidRPr="00F779A2">
        <w:t>(</w:t>
      </w:r>
      <w:r w:rsidR="00DC3894">
        <w:t xml:space="preserve">Gasper, </w:t>
      </w:r>
      <w:proofErr w:type="spellStart"/>
      <w:r w:rsidR="00DC3894">
        <w:t>Lozinski</w:t>
      </w:r>
      <w:proofErr w:type="spellEnd"/>
      <w:r w:rsidR="00DC3894">
        <w:t xml:space="preserve">, &amp; </w:t>
      </w:r>
      <w:proofErr w:type="spellStart"/>
      <w:r w:rsidR="00DC3894">
        <w:t>LaBeau</w:t>
      </w:r>
      <w:proofErr w:type="spellEnd"/>
      <w:r w:rsidR="00DC3894">
        <w:t xml:space="preserve">, 2009; </w:t>
      </w:r>
      <w:proofErr w:type="spellStart"/>
      <w:r w:rsidR="00D65ABB">
        <w:t>Norem</w:t>
      </w:r>
      <w:proofErr w:type="spellEnd"/>
      <w:r w:rsidR="00D65ABB">
        <w:t xml:space="preserve"> &amp; Cantor, 1986; </w:t>
      </w:r>
      <w:r w:rsidR="003B5F37">
        <w:t>Shepperd et al., 2018</w:t>
      </w:r>
      <w:r w:rsidR="00BF605B" w:rsidRPr="00F779A2">
        <w:t>)</w:t>
      </w:r>
      <w:r w:rsidR="003E5461" w:rsidRPr="00F779A2">
        <w:t>.</w:t>
      </w:r>
      <w:r w:rsidR="00BF605B" w:rsidRPr="00F779A2">
        <w:t xml:space="preserve"> </w:t>
      </w:r>
      <w:r w:rsidR="00DE5B26">
        <w:t>P</w:t>
      </w:r>
      <w:r w:rsidR="00DC3894">
        <w:t xml:space="preserve">essimistic predictions </w:t>
      </w:r>
      <w:r w:rsidR="00A14E06">
        <w:t xml:space="preserve">can </w:t>
      </w:r>
      <w:r w:rsidR="00DE5B26">
        <w:t xml:space="preserve">also be a way of </w:t>
      </w:r>
      <w:r w:rsidR="00DC3894">
        <w:t>“</w:t>
      </w:r>
      <w:r w:rsidR="003B5F37">
        <w:t>brac</w:t>
      </w:r>
      <w:r w:rsidR="00DE5B26">
        <w:t>ing</w:t>
      </w:r>
      <w:r w:rsidR="00DC3894">
        <w:t>” oneself against feeling upset</w:t>
      </w:r>
      <w:r w:rsidR="00684FF7">
        <w:t xml:space="preserve"> </w:t>
      </w:r>
      <w:r w:rsidR="005A72E8">
        <w:t xml:space="preserve">or disappointed </w:t>
      </w:r>
      <w:r w:rsidR="00684FF7">
        <w:t>when a desirable outcome does not occur</w:t>
      </w:r>
      <w:r w:rsidR="00DC3894">
        <w:t xml:space="preserve"> (Carroll, Sweeny, &amp; Shepperd, 2006</w:t>
      </w:r>
      <w:r w:rsidR="00684FF7">
        <w:t xml:space="preserve">; Sweeny &amp; </w:t>
      </w:r>
      <w:proofErr w:type="spellStart"/>
      <w:r w:rsidR="00684FF7">
        <w:t>Krizan</w:t>
      </w:r>
      <w:proofErr w:type="spellEnd"/>
      <w:r w:rsidR="00684FF7">
        <w:t>, 2013</w:t>
      </w:r>
      <w:r w:rsidR="00EB43DC">
        <w:t>).</w:t>
      </w:r>
      <w:r w:rsidR="003E1EA2">
        <w:t xml:space="preserve"> It is possible then, that people might recognize </w:t>
      </w:r>
      <w:r w:rsidR="003E1EA2">
        <w:lastRenderedPageBreak/>
        <w:t>benefits of being pessimistic, and they might</w:t>
      </w:r>
      <w:r w:rsidR="00BE156B">
        <w:t xml:space="preserve"> </w:t>
      </w:r>
      <w:r w:rsidR="003E1EA2">
        <w:t xml:space="preserve">widely prescribe </w:t>
      </w:r>
      <w:r w:rsidR="001F6A74" w:rsidRPr="00D80DF6">
        <w:rPr>
          <w:iCs/>
        </w:rPr>
        <w:t>the</w:t>
      </w:r>
      <w:r w:rsidR="001F6A74">
        <w:rPr>
          <w:i/>
        </w:rPr>
        <w:t xml:space="preserve"> </w:t>
      </w:r>
      <w:r w:rsidR="00022E0D">
        <w:t>underestimation of</w:t>
      </w:r>
      <w:r w:rsidR="001F6A74">
        <w:t xml:space="preserve"> likelihoods for</w:t>
      </w:r>
      <w:r w:rsidR="00022E0D">
        <w:t xml:space="preserve"> desired outcomes</w:t>
      </w:r>
      <w:r w:rsidR="003E1EA2">
        <w:t xml:space="preserve">.  </w:t>
      </w:r>
    </w:p>
    <w:p w14:paraId="655596CC" w14:textId="620FFE84" w:rsidR="00A11D2E" w:rsidRDefault="00A11D2E" w:rsidP="00377A6F">
      <w:pPr>
        <w:spacing w:line="480" w:lineRule="auto"/>
        <w:ind w:firstLine="720"/>
      </w:pPr>
      <w:r>
        <w:t xml:space="preserve">Of course, prescriptions of no bias are also possible if people value accuracy and objectivity, or if countervailing biases even out. </w:t>
      </w:r>
    </w:p>
    <w:p w14:paraId="34120855" w14:textId="75AE1608" w:rsidR="00CF54CB" w:rsidRDefault="00982436" w:rsidP="002936DE">
      <w:pPr>
        <w:spacing w:line="480" w:lineRule="auto"/>
        <w:rPr>
          <w:b/>
          <w:bCs/>
        </w:rPr>
      </w:pPr>
      <w:r w:rsidRPr="0023313B">
        <w:rPr>
          <w:b/>
          <w:bCs/>
        </w:rPr>
        <w:t xml:space="preserve">The </w:t>
      </w:r>
      <w:r>
        <w:rPr>
          <w:b/>
          <w:bCs/>
        </w:rPr>
        <w:t>C</w:t>
      </w:r>
      <w:r w:rsidRPr="0023313B">
        <w:rPr>
          <w:b/>
          <w:bCs/>
        </w:rPr>
        <w:t xml:space="preserve">urrent </w:t>
      </w:r>
      <w:r>
        <w:rPr>
          <w:b/>
          <w:bCs/>
        </w:rPr>
        <w:t>R</w:t>
      </w:r>
      <w:r w:rsidRPr="0023313B">
        <w:rPr>
          <w:b/>
          <w:bCs/>
        </w:rPr>
        <w:t>esearch</w:t>
      </w:r>
    </w:p>
    <w:p w14:paraId="2922BE6C" w14:textId="7B749407" w:rsidR="00A77F6A" w:rsidRDefault="006A3E0F" w:rsidP="00A77F6A">
      <w:pPr>
        <w:spacing w:line="480" w:lineRule="auto"/>
        <w:ind w:firstLine="720"/>
      </w:pPr>
      <w:r>
        <w:t xml:space="preserve">Our research </w:t>
      </w:r>
      <w:r w:rsidR="004A1368">
        <w:t>addressed</w:t>
      </w:r>
      <w:r w:rsidR="00A77F6A">
        <w:t xml:space="preserve"> this empirical uncertainty about whether </w:t>
      </w:r>
      <w:r w:rsidR="004A1368">
        <w:t>prescriptions of “optimism” also mean that people prescribe biased estimations of likelihood</w:t>
      </w:r>
      <w:r w:rsidR="00AF47AD">
        <w:t>.</w:t>
      </w:r>
      <w:r w:rsidR="00E029CE">
        <w:t xml:space="preserve"> </w:t>
      </w:r>
      <w:r w:rsidR="00A77F6A">
        <w:t xml:space="preserve">In </w:t>
      </w:r>
      <w:r w:rsidR="00003983" w:rsidRPr="00F22194">
        <w:rPr>
          <w:color w:val="000000" w:themeColor="text1"/>
        </w:rPr>
        <w:t>3 preregistered studies involving the scenarios from Armor et al. (2008)</w:t>
      </w:r>
      <w:r w:rsidR="00A77F6A">
        <w:rPr>
          <w:color w:val="000000" w:themeColor="text1"/>
        </w:rPr>
        <w:t xml:space="preserve">, </w:t>
      </w:r>
      <w:r w:rsidR="00A77F6A">
        <w:t xml:space="preserve">we examined how altering the solicitations of prescriptions changed the level of optimism (or pessimism) that was prescribed. </w:t>
      </w:r>
    </w:p>
    <w:p w14:paraId="0AD29772" w14:textId="2D61CCCA" w:rsidR="00DA6DAA" w:rsidRDefault="00003983" w:rsidP="000E0042">
      <w:pPr>
        <w:spacing w:line="480" w:lineRule="auto"/>
        <w:rPr>
          <w:color w:val="000000" w:themeColor="text1"/>
        </w:rPr>
      </w:pPr>
      <w:r w:rsidRPr="00F22194">
        <w:rPr>
          <w:color w:val="000000" w:themeColor="text1"/>
        </w:rPr>
        <w:t xml:space="preserve">Study 1 had two conditions: one that used the </w:t>
      </w:r>
      <w:r w:rsidR="00711DA5">
        <w:rPr>
          <w:color w:val="000000" w:themeColor="text1"/>
        </w:rPr>
        <w:t xml:space="preserve">original </w:t>
      </w:r>
      <w:r w:rsidRPr="00F22194">
        <w:rPr>
          <w:color w:val="000000" w:themeColor="text1"/>
        </w:rPr>
        <w:t>prescription measure</w:t>
      </w:r>
      <w:r w:rsidR="00214131">
        <w:rPr>
          <w:color w:val="000000" w:themeColor="text1"/>
        </w:rPr>
        <w:t xml:space="preserve"> from Armor et al. </w:t>
      </w:r>
      <w:r w:rsidRPr="00F22194">
        <w:rPr>
          <w:color w:val="000000" w:themeColor="text1"/>
        </w:rPr>
        <w:t xml:space="preserve">and </w:t>
      </w:r>
      <w:r w:rsidR="00214131">
        <w:rPr>
          <w:color w:val="000000" w:themeColor="text1"/>
        </w:rPr>
        <w:t>one that used</w:t>
      </w:r>
      <w:r w:rsidR="00711DA5">
        <w:rPr>
          <w:color w:val="000000" w:themeColor="text1"/>
        </w:rPr>
        <w:t xml:space="preserve"> a</w:t>
      </w:r>
      <w:r w:rsidR="00214131">
        <w:rPr>
          <w:color w:val="000000" w:themeColor="text1"/>
        </w:rPr>
        <w:t xml:space="preserve"> new </w:t>
      </w:r>
      <w:r w:rsidR="00711DA5">
        <w:rPr>
          <w:color w:val="000000" w:themeColor="text1"/>
        </w:rPr>
        <w:t xml:space="preserve">prescription </w:t>
      </w:r>
      <w:r w:rsidRPr="00F22194">
        <w:rPr>
          <w:color w:val="000000" w:themeColor="text1"/>
        </w:rPr>
        <w:t xml:space="preserve">measure </w:t>
      </w:r>
      <w:r w:rsidR="00A77F6A">
        <w:rPr>
          <w:color w:val="000000" w:themeColor="text1"/>
        </w:rPr>
        <w:t xml:space="preserve">that </w:t>
      </w:r>
      <w:r w:rsidR="00711DA5">
        <w:rPr>
          <w:color w:val="000000" w:themeColor="text1"/>
        </w:rPr>
        <w:t xml:space="preserve">focused on </w:t>
      </w:r>
      <w:r w:rsidRPr="00F22194">
        <w:rPr>
          <w:color w:val="000000" w:themeColor="text1"/>
        </w:rPr>
        <w:t>likelihood estimat</w:t>
      </w:r>
      <w:r w:rsidR="00711DA5">
        <w:rPr>
          <w:color w:val="000000" w:themeColor="text1"/>
        </w:rPr>
        <w:t xml:space="preserve">ion and omitted some potentially biasing features of the original measure. </w:t>
      </w:r>
      <w:r w:rsidR="00EB5FEC">
        <w:rPr>
          <w:color w:val="000000" w:themeColor="text1"/>
        </w:rPr>
        <w:t>T</w:t>
      </w:r>
      <w:r w:rsidRPr="00F22194">
        <w:rPr>
          <w:color w:val="000000" w:themeColor="text1"/>
        </w:rPr>
        <w:t xml:space="preserve">he results were quite different between those conditions. In Studies 2 and 3, we varied </w:t>
      </w:r>
      <w:r w:rsidR="005F4562">
        <w:rPr>
          <w:color w:val="000000" w:themeColor="text1"/>
        </w:rPr>
        <w:t>features</w:t>
      </w:r>
      <w:r w:rsidRPr="00F22194">
        <w:rPr>
          <w:color w:val="000000" w:themeColor="text1"/>
        </w:rPr>
        <w:t xml:space="preserve"> of the prescription measures to disambiguate which </w:t>
      </w:r>
      <w:r w:rsidR="005F4562">
        <w:rPr>
          <w:color w:val="000000" w:themeColor="text1"/>
        </w:rPr>
        <w:t>properties</w:t>
      </w:r>
      <w:r w:rsidRPr="00F22194">
        <w:rPr>
          <w:color w:val="000000" w:themeColor="text1"/>
        </w:rPr>
        <w:t xml:space="preserve"> produced the different results. These properties and their subsequent influence on results are summarized in Table 1 and discussed in detail later. Across all studies, we also tested two of the moderators (commitment and agency of the protagonist) that were examined by Armor et al. (2008).</w:t>
      </w:r>
    </w:p>
    <w:p w14:paraId="279EC30D" w14:textId="5A90A417" w:rsidR="00354A8A" w:rsidRPr="00D665C1" w:rsidRDefault="001901CD" w:rsidP="00377A6F">
      <w:pPr>
        <w:rPr>
          <w:i/>
          <w:iCs/>
        </w:rPr>
      </w:pPr>
      <w:r>
        <w:t xml:space="preserve">Table 1. </w:t>
      </w:r>
      <w:r w:rsidRPr="00D665C1">
        <w:rPr>
          <w:i/>
          <w:iCs/>
        </w:rPr>
        <w:t xml:space="preserve">Overview of </w:t>
      </w:r>
      <w:r w:rsidR="009B1E51" w:rsidRPr="00D665C1">
        <w:rPr>
          <w:i/>
          <w:iCs/>
        </w:rPr>
        <w:t>s</w:t>
      </w:r>
      <w:r w:rsidRPr="00D665C1">
        <w:rPr>
          <w:i/>
          <w:iCs/>
        </w:rPr>
        <w:t xml:space="preserve">tudies and </w:t>
      </w:r>
      <w:r w:rsidR="009B1E51" w:rsidRPr="00D665C1">
        <w:rPr>
          <w:i/>
          <w:iCs/>
        </w:rPr>
        <w:t>properties of the prescription measures used in each study</w:t>
      </w:r>
      <w:r w:rsidR="009B1E51">
        <w:rPr>
          <w:i/>
          <w:iCs/>
        </w:rPr>
        <w:t>.</w:t>
      </w:r>
    </w:p>
    <w:tbl>
      <w:tblPr>
        <w:tblW w:w="9983" w:type="dxa"/>
        <w:tblLook w:val="04A0" w:firstRow="1" w:lastRow="0" w:firstColumn="1" w:lastColumn="0" w:noHBand="0" w:noVBand="1"/>
      </w:tblPr>
      <w:tblGrid>
        <w:gridCol w:w="1212"/>
        <w:gridCol w:w="2409"/>
        <w:gridCol w:w="1893"/>
        <w:gridCol w:w="1404"/>
        <w:gridCol w:w="1342"/>
        <w:gridCol w:w="1723"/>
      </w:tblGrid>
      <w:tr w:rsidR="00ED4163" w:rsidRPr="00ED4163" w14:paraId="07094955" w14:textId="77777777" w:rsidTr="00D80DF6">
        <w:trPr>
          <w:trHeight w:val="412"/>
        </w:trPr>
        <w:tc>
          <w:tcPr>
            <w:tcW w:w="1212" w:type="dxa"/>
            <w:vMerge w:val="restart"/>
            <w:tcBorders>
              <w:top w:val="single" w:sz="4" w:space="0" w:color="auto"/>
              <w:left w:val="nil"/>
              <w:bottom w:val="single" w:sz="4" w:space="0" w:color="000000"/>
              <w:right w:val="nil"/>
            </w:tcBorders>
            <w:shd w:val="clear" w:color="000000" w:fill="FFFFFF"/>
            <w:noWrap/>
            <w:vAlign w:val="center"/>
            <w:hideMark/>
          </w:tcPr>
          <w:p w14:paraId="02F2CA01" w14:textId="77777777" w:rsidR="00ED4163" w:rsidRPr="00ED4163" w:rsidRDefault="00ED4163" w:rsidP="00377A6F">
            <w:pPr>
              <w:jc w:val="center"/>
              <w:rPr>
                <w:color w:val="000000"/>
                <w:sz w:val="22"/>
                <w:szCs w:val="22"/>
              </w:rPr>
            </w:pPr>
            <w:r w:rsidRPr="00ED4163">
              <w:rPr>
                <w:color w:val="000000"/>
                <w:sz w:val="22"/>
                <w:szCs w:val="22"/>
              </w:rPr>
              <w:t>Studies</w:t>
            </w:r>
          </w:p>
        </w:tc>
        <w:tc>
          <w:tcPr>
            <w:tcW w:w="2409" w:type="dxa"/>
            <w:vMerge w:val="restart"/>
            <w:tcBorders>
              <w:top w:val="single" w:sz="4" w:space="0" w:color="auto"/>
              <w:left w:val="nil"/>
              <w:bottom w:val="single" w:sz="4" w:space="0" w:color="000000"/>
              <w:right w:val="nil"/>
            </w:tcBorders>
            <w:shd w:val="clear" w:color="000000" w:fill="FFFFFF"/>
            <w:vAlign w:val="center"/>
            <w:hideMark/>
          </w:tcPr>
          <w:p w14:paraId="528D47B4" w14:textId="77777777" w:rsidR="000F43BC" w:rsidRDefault="000F43BC" w:rsidP="00377A6F">
            <w:pPr>
              <w:jc w:val="center"/>
              <w:rPr>
                <w:color w:val="000000"/>
                <w:sz w:val="22"/>
                <w:szCs w:val="22"/>
              </w:rPr>
            </w:pPr>
            <w:r>
              <w:rPr>
                <w:color w:val="000000"/>
                <w:sz w:val="22"/>
                <w:szCs w:val="22"/>
              </w:rPr>
              <w:t xml:space="preserve">Condition </w:t>
            </w:r>
          </w:p>
          <w:p w14:paraId="373C3CAA" w14:textId="16E3C219" w:rsidR="000F43BC" w:rsidRPr="00ED4163" w:rsidRDefault="000F43BC" w:rsidP="00377A6F">
            <w:pPr>
              <w:jc w:val="center"/>
              <w:rPr>
                <w:color w:val="000000"/>
                <w:sz w:val="22"/>
                <w:szCs w:val="22"/>
              </w:rPr>
            </w:pPr>
            <w:r>
              <w:rPr>
                <w:color w:val="000000"/>
                <w:sz w:val="22"/>
                <w:szCs w:val="22"/>
              </w:rPr>
              <w:t>(</w:t>
            </w:r>
            <w:r w:rsidR="00ED4163" w:rsidRPr="00ED4163">
              <w:rPr>
                <w:color w:val="000000"/>
                <w:sz w:val="22"/>
                <w:szCs w:val="22"/>
              </w:rPr>
              <w:t xml:space="preserve">Prescription </w:t>
            </w:r>
            <w:r w:rsidR="00ED4163" w:rsidRPr="00ED4163">
              <w:rPr>
                <w:color w:val="000000"/>
                <w:sz w:val="22"/>
                <w:szCs w:val="22"/>
              </w:rPr>
              <w:br/>
              <w:t>Measure</w:t>
            </w:r>
            <w:r>
              <w:rPr>
                <w:color w:val="000000"/>
                <w:sz w:val="22"/>
                <w:szCs w:val="22"/>
              </w:rPr>
              <w:t>)</w:t>
            </w:r>
          </w:p>
        </w:tc>
        <w:tc>
          <w:tcPr>
            <w:tcW w:w="4639" w:type="dxa"/>
            <w:gridSpan w:val="3"/>
            <w:tcBorders>
              <w:top w:val="single" w:sz="4" w:space="0" w:color="auto"/>
              <w:left w:val="nil"/>
              <w:bottom w:val="single" w:sz="4" w:space="0" w:color="auto"/>
              <w:right w:val="nil"/>
            </w:tcBorders>
            <w:shd w:val="clear" w:color="000000" w:fill="FFFFFF"/>
            <w:noWrap/>
            <w:vAlign w:val="center"/>
            <w:hideMark/>
          </w:tcPr>
          <w:p w14:paraId="1CF0175C" w14:textId="4EAEBD36" w:rsidR="00ED4163" w:rsidRPr="00ED4163" w:rsidRDefault="008A4C49" w:rsidP="00377A6F">
            <w:pPr>
              <w:jc w:val="center"/>
              <w:rPr>
                <w:color w:val="000000"/>
                <w:sz w:val="22"/>
                <w:szCs w:val="22"/>
              </w:rPr>
            </w:pPr>
            <w:r>
              <w:rPr>
                <w:color w:val="000000"/>
                <w:sz w:val="22"/>
                <w:szCs w:val="22"/>
              </w:rPr>
              <w:t>P</w:t>
            </w:r>
            <w:r w:rsidR="00ED4163" w:rsidRPr="00ED4163">
              <w:rPr>
                <w:color w:val="000000"/>
                <w:sz w:val="22"/>
                <w:szCs w:val="22"/>
              </w:rPr>
              <w:t xml:space="preserve">roperties of the </w:t>
            </w:r>
            <w:r>
              <w:rPr>
                <w:color w:val="000000"/>
                <w:sz w:val="22"/>
                <w:szCs w:val="22"/>
              </w:rPr>
              <w:t>M</w:t>
            </w:r>
            <w:r w:rsidR="00ED4163" w:rsidRPr="00ED4163">
              <w:rPr>
                <w:color w:val="000000"/>
                <w:sz w:val="22"/>
                <w:szCs w:val="22"/>
              </w:rPr>
              <w:t>easure</w:t>
            </w:r>
            <w:r>
              <w:rPr>
                <w:color w:val="000000"/>
                <w:sz w:val="22"/>
                <w:szCs w:val="22"/>
              </w:rPr>
              <w:t>s</w:t>
            </w:r>
          </w:p>
        </w:tc>
        <w:tc>
          <w:tcPr>
            <w:tcW w:w="1723" w:type="dxa"/>
            <w:vMerge w:val="restart"/>
            <w:tcBorders>
              <w:top w:val="single" w:sz="4" w:space="0" w:color="auto"/>
              <w:left w:val="nil"/>
              <w:bottom w:val="single" w:sz="4" w:space="0" w:color="000000"/>
              <w:right w:val="nil"/>
            </w:tcBorders>
            <w:shd w:val="clear" w:color="000000" w:fill="FFFFFF"/>
            <w:vAlign w:val="center"/>
            <w:hideMark/>
          </w:tcPr>
          <w:p w14:paraId="41BCE77C" w14:textId="209DA7B9" w:rsidR="00ED4163" w:rsidRPr="00ED4163" w:rsidRDefault="00ED4163" w:rsidP="00377A6F">
            <w:pPr>
              <w:jc w:val="center"/>
              <w:rPr>
                <w:color w:val="000000"/>
                <w:sz w:val="22"/>
                <w:szCs w:val="22"/>
              </w:rPr>
            </w:pPr>
            <w:r w:rsidRPr="00ED4163">
              <w:rPr>
                <w:color w:val="000000"/>
                <w:sz w:val="22"/>
                <w:szCs w:val="22"/>
              </w:rPr>
              <w:t xml:space="preserve">Prescription </w:t>
            </w:r>
            <w:r w:rsidR="008A4C49">
              <w:rPr>
                <w:color w:val="000000"/>
                <w:sz w:val="22"/>
                <w:szCs w:val="22"/>
              </w:rPr>
              <w:t>R</w:t>
            </w:r>
            <w:r w:rsidR="008A4C49" w:rsidRPr="00ED4163">
              <w:rPr>
                <w:color w:val="000000"/>
                <w:sz w:val="22"/>
                <w:szCs w:val="22"/>
              </w:rPr>
              <w:t xml:space="preserve">esults </w:t>
            </w:r>
            <w:r w:rsidRPr="00ED4163">
              <w:rPr>
                <w:color w:val="000000"/>
                <w:sz w:val="22"/>
                <w:szCs w:val="22"/>
              </w:rPr>
              <w:t xml:space="preserve">(relative to </w:t>
            </w:r>
            <w:r w:rsidR="00F5771B">
              <w:rPr>
                <w:color w:val="000000"/>
                <w:sz w:val="22"/>
                <w:szCs w:val="22"/>
              </w:rPr>
              <w:t xml:space="preserve">scale </w:t>
            </w:r>
            <w:r w:rsidRPr="00ED4163">
              <w:rPr>
                <w:color w:val="000000"/>
                <w:sz w:val="22"/>
                <w:szCs w:val="22"/>
              </w:rPr>
              <w:t>midpoint)</w:t>
            </w:r>
          </w:p>
        </w:tc>
      </w:tr>
      <w:tr w:rsidR="00ED4163" w:rsidRPr="00ED4163" w14:paraId="50695205" w14:textId="77777777" w:rsidTr="00D80DF6">
        <w:trPr>
          <w:trHeight w:val="412"/>
        </w:trPr>
        <w:tc>
          <w:tcPr>
            <w:tcW w:w="1212" w:type="dxa"/>
            <w:vMerge/>
            <w:tcBorders>
              <w:top w:val="single" w:sz="4" w:space="0" w:color="auto"/>
              <w:left w:val="nil"/>
              <w:bottom w:val="single" w:sz="4" w:space="0" w:color="000000"/>
              <w:right w:val="nil"/>
            </w:tcBorders>
            <w:vAlign w:val="center"/>
            <w:hideMark/>
          </w:tcPr>
          <w:p w14:paraId="0A4EE7B9" w14:textId="77777777" w:rsidR="00ED4163" w:rsidRPr="00ED4163" w:rsidRDefault="00ED4163" w:rsidP="00377A6F">
            <w:pPr>
              <w:rPr>
                <w:color w:val="000000"/>
                <w:sz w:val="22"/>
                <w:szCs w:val="22"/>
              </w:rPr>
            </w:pPr>
          </w:p>
        </w:tc>
        <w:tc>
          <w:tcPr>
            <w:tcW w:w="2409" w:type="dxa"/>
            <w:vMerge/>
            <w:tcBorders>
              <w:top w:val="single" w:sz="4" w:space="0" w:color="auto"/>
              <w:left w:val="nil"/>
              <w:bottom w:val="single" w:sz="4" w:space="0" w:color="000000"/>
              <w:right w:val="nil"/>
            </w:tcBorders>
            <w:vAlign w:val="center"/>
            <w:hideMark/>
          </w:tcPr>
          <w:p w14:paraId="101C4D45" w14:textId="77777777" w:rsidR="00ED4163" w:rsidRPr="00ED4163" w:rsidRDefault="00ED4163" w:rsidP="00377A6F">
            <w:pPr>
              <w:rPr>
                <w:color w:val="000000"/>
                <w:sz w:val="22"/>
                <w:szCs w:val="22"/>
              </w:rPr>
            </w:pPr>
          </w:p>
        </w:tc>
        <w:tc>
          <w:tcPr>
            <w:tcW w:w="1893" w:type="dxa"/>
            <w:vMerge w:val="restart"/>
            <w:tcBorders>
              <w:top w:val="nil"/>
              <w:left w:val="nil"/>
              <w:bottom w:val="single" w:sz="4" w:space="0" w:color="000000"/>
              <w:right w:val="nil"/>
            </w:tcBorders>
            <w:shd w:val="clear" w:color="000000" w:fill="FFFFFF"/>
            <w:vAlign w:val="center"/>
            <w:hideMark/>
          </w:tcPr>
          <w:p w14:paraId="28CD1839" w14:textId="11956A63" w:rsidR="00ED4163" w:rsidRPr="00ED4163" w:rsidRDefault="00185793" w:rsidP="00377A6F">
            <w:pPr>
              <w:jc w:val="center"/>
              <w:rPr>
                <w:color w:val="000000"/>
                <w:sz w:val="22"/>
                <w:szCs w:val="22"/>
              </w:rPr>
            </w:pPr>
            <w:r>
              <w:rPr>
                <w:color w:val="000000"/>
                <w:sz w:val="22"/>
                <w:szCs w:val="22"/>
              </w:rPr>
              <w:t xml:space="preserve">Question Terms and </w:t>
            </w:r>
            <w:r w:rsidR="00F5771B">
              <w:rPr>
                <w:color w:val="000000"/>
                <w:sz w:val="22"/>
                <w:szCs w:val="22"/>
              </w:rPr>
              <w:t xml:space="preserve">Scale </w:t>
            </w:r>
            <w:r w:rsidR="00ED4163" w:rsidRPr="00ED4163">
              <w:rPr>
                <w:color w:val="000000"/>
                <w:sz w:val="22"/>
                <w:szCs w:val="22"/>
              </w:rPr>
              <w:t xml:space="preserve">Anchors  </w:t>
            </w:r>
          </w:p>
        </w:tc>
        <w:tc>
          <w:tcPr>
            <w:tcW w:w="1404" w:type="dxa"/>
            <w:vMerge w:val="restart"/>
            <w:tcBorders>
              <w:top w:val="nil"/>
              <w:left w:val="nil"/>
              <w:bottom w:val="single" w:sz="4" w:space="0" w:color="000000"/>
              <w:right w:val="nil"/>
            </w:tcBorders>
            <w:shd w:val="clear" w:color="000000" w:fill="FFFFFF"/>
            <w:vAlign w:val="center"/>
            <w:hideMark/>
          </w:tcPr>
          <w:p w14:paraId="5F271979" w14:textId="1AB8E577" w:rsidR="00ED4163" w:rsidRPr="00ED4163" w:rsidRDefault="008C0784" w:rsidP="00377A6F">
            <w:pPr>
              <w:jc w:val="center"/>
              <w:rPr>
                <w:color w:val="000000"/>
                <w:sz w:val="22"/>
                <w:szCs w:val="22"/>
              </w:rPr>
            </w:pPr>
            <w:r>
              <w:rPr>
                <w:color w:val="000000"/>
                <w:sz w:val="22"/>
                <w:szCs w:val="22"/>
              </w:rPr>
              <w:t>Referred to</w:t>
            </w:r>
            <w:r w:rsidRPr="00ED4163">
              <w:rPr>
                <w:color w:val="000000"/>
                <w:sz w:val="22"/>
                <w:szCs w:val="22"/>
              </w:rPr>
              <w:t xml:space="preserve"> </w:t>
            </w:r>
            <w:r w:rsidR="008A4C49">
              <w:rPr>
                <w:color w:val="000000"/>
                <w:sz w:val="22"/>
                <w:szCs w:val="22"/>
              </w:rPr>
              <w:t>F</w:t>
            </w:r>
            <w:r w:rsidR="008A4C49" w:rsidRPr="00ED4163">
              <w:rPr>
                <w:color w:val="000000"/>
                <w:sz w:val="22"/>
                <w:szCs w:val="22"/>
              </w:rPr>
              <w:t>eelings</w:t>
            </w:r>
            <w:r w:rsidR="00ED4163" w:rsidRPr="00ED4163">
              <w:rPr>
                <w:color w:val="000000"/>
                <w:sz w:val="22"/>
                <w:szCs w:val="22"/>
              </w:rPr>
              <w:t>?</w:t>
            </w:r>
          </w:p>
        </w:tc>
        <w:tc>
          <w:tcPr>
            <w:tcW w:w="1341" w:type="dxa"/>
            <w:vMerge w:val="restart"/>
            <w:tcBorders>
              <w:top w:val="nil"/>
              <w:left w:val="nil"/>
              <w:bottom w:val="single" w:sz="4" w:space="0" w:color="000000"/>
              <w:right w:val="nil"/>
            </w:tcBorders>
            <w:shd w:val="clear" w:color="000000" w:fill="FFFFFF"/>
            <w:vAlign w:val="center"/>
            <w:hideMark/>
          </w:tcPr>
          <w:p w14:paraId="7A091DD5" w14:textId="4247CFF6" w:rsidR="00ED4163" w:rsidRPr="00ED4163" w:rsidRDefault="008C0784" w:rsidP="00377A6F">
            <w:pPr>
              <w:jc w:val="center"/>
              <w:rPr>
                <w:color w:val="000000"/>
                <w:sz w:val="22"/>
                <w:szCs w:val="22"/>
              </w:rPr>
            </w:pPr>
            <w:r>
              <w:rPr>
                <w:color w:val="000000"/>
                <w:sz w:val="22"/>
                <w:szCs w:val="22"/>
              </w:rPr>
              <w:t xml:space="preserve">Included </w:t>
            </w:r>
            <w:r w:rsidR="00ED4163" w:rsidRPr="00ED4163">
              <w:rPr>
                <w:color w:val="000000"/>
                <w:sz w:val="22"/>
                <w:szCs w:val="22"/>
              </w:rPr>
              <w:t>"Best"?</w:t>
            </w:r>
          </w:p>
        </w:tc>
        <w:tc>
          <w:tcPr>
            <w:tcW w:w="1723" w:type="dxa"/>
            <w:vMerge/>
            <w:tcBorders>
              <w:top w:val="single" w:sz="4" w:space="0" w:color="auto"/>
              <w:left w:val="nil"/>
              <w:bottom w:val="single" w:sz="4" w:space="0" w:color="000000"/>
              <w:right w:val="nil"/>
            </w:tcBorders>
            <w:vAlign w:val="center"/>
            <w:hideMark/>
          </w:tcPr>
          <w:p w14:paraId="4ACA5D47" w14:textId="77777777" w:rsidR="00ED4163" w:rsidRPr="00ED4163" w:rsidRDefault="00ED4163" w:rsidP="00377A6F">
            <w:pPr>
              <w:rPr>
                <w:color w:val="000000"/>
                <w:sz w:val="22"/>
                <w:szCs w:val="22"/>
              </w:rPr>
            </w:pPr>
          </w:p>
        </w:tc>
      </w:tr>
      <w:tr w:rsidR="00ED4163" w:rsidRPr="00ED4163" w14:paraId="3FB9948F" w14:textId="77777777" w:rsidTr="00D80DF6">
        <w:trPr>
          <w:trHeight w:val="276"/>
        </w:trPr>
        <w:tc>
          <w:tcPr>
            <w:tcW w:w="1212" w:type="dxa"/>
            <w:vMerge/>
            <w:tcBorders>
              <w:top w:val="single" w:sz="4" w:space="0" w:color="auto"/>
              <w:left w:val="nil"/>
              <w:bottom w:val="single" w:sz="4" w:space="0" w:color="000000"/>
              <w:right w:val="nil"/>
            </w:tcBorders>
            <w:vAlign w:val="center"/>
            <w:hideMark/>
          </w:tcPr>
          <w:p w14:paraId="737C72DD" w14:textId="77777777" w:rsidR="00ED4163" w:rsidRPr="00ED4163" w:rsidRDefault="00ED4163" w:rsidP="00377A6F">
            <w:pPr>
              <w:rPr>
                <w:color w:val="000000"/>
                <w:sz w:val="22"/>
                <w:szCs w:val="22"/>
              </w:rPr>
            </w:pPr>
          </w:p>
        </w:tc>
        <w:tc>
          <w:tcPr>
            <w:tcW w:w="2409" w:type="dxa"/>
            <w:vMerge/>
            <w:tcBorders>
              <w:top w:val="single" w:sz="4" w:space="0" w:color="auto"/>
              <w:left w:val="nil"/>
              <w:bottom w:val="single" w:sz="4" w:space="0" w:color="000000"/>
              <w:right w:val="nil"/>
            </w:tcBorders>
            <w:vAlign w:val="center"/>
            <w:hideMark/>
          </w:tcPr>
          <w:p w14:paraId="084F7B74" w14:textId="77777777" w:rsidR="00ED4163" w:rsidRPr="00ED4163" w:rsidRDefault="00ED4163" w:rsidP="00377A6F">
            <w:pPr>
              <w:rPr>
                <w:color w:val="000000"/>
                <w:sz w:val="22"/>
                <w:szCs w:val="22"/>
              </w:rPr>
            </w:pPr>
          </w:p>
        </w:tc>
        <w:tc>
          <w:tcPr>
            <w:tcW w:w="1893" w:type="dxa"/>
            <w:vMerge/>
            <w:tcBorders>
              <w:top w:val="nil"/>
              <w:left w:val="nil"/>
              <w:bottom w:val="single" w:sz="4" w:space="0" w:color="000000"/>
              <w:right w:val="nil"/>
            </w:tcBorders>
            <w:vAlign w:val="center"/>
            <w:hideMark/>
          </w:tcPr>
          <w:p w14:paraId="6C3FCBA8" w14:textId="77777777" w:rsidR="00ED4163" w:rsidRPr="00ED4163" w:rsidRDefault="00ED4163" w:rsidP="00377A6F">
            <w:pPr>
              <w:rPr>
                <w:color w:val="000000"/>
                <w:sz w:val="22"/>
                <w:szCs w:val="22"/>
              </w:rPr>
            </w:pPr>
          </w:p>
        </w:tc>
        <w:tc>
          <w:tcPr>
            <w:tcW w:w="1404" w:type="dxa"/>
            <w:vMerge/>
            <w:tcBorders>
              <w:top w:val="nil"/>
              <w:left w:val="nil"/>
              <w:bottom w:val="single" w:sz="4" w:space="0" w:color="000000"/>
              <w:right w:val="nil"/>
            </w:tcBorders>
            <w:vAlign w:val="center"/>
            <w:hideMark/>
          </w:tcPr>
          <w:p w14:paraId="6674E6E9" w14:textId="77777777" w:rsidR="00ED4163" w:rsidRPr="00ED4163" w:rsidRDefault="00ED4163" w:rsidP="00377A6F">
            <w:pPr>
              <w:rPr>
                <w:color w:val="000000"/>
                <w:sz w:val="22"/>
                <w:szCs w:val="22"/>
              </w:rPr>
            </w:pPr>
          </w:p>
        </w:tc>
        <w:tc>
          <w:tcPr>
            <w:tcW w:w="1341" w:type="dxa"/>
            <w:vMerge/>
            <w:tcBorders>
              <w:top w:val="nil"/>
              <w:left w:val="nil"/>
              <w:bottom w:val="single" w:sz="4" w:space="0" w:color="000000"/>
              <w:right w:val="nil"/>
            </w:tcBorders>
            <w:vAlign w:val="center"/>
            <w:hideMark/>
          </w:tcPr>
          <w:p w14:paraId="2DCB74A7" w14:textId="77777777" w:rsidR="00ED4163" w:rsidRPr="00ED4163" w:rsidRDefault="00ED4163" w:rsidP="00377A6F">
            <w:pPr>
              <w:rPr>
                <w:color w:val="000000"/>
                <w:sz w:val="22"/>
                <w:szCs w:val="22"/>
              </w:rPr>
            </w:pPr>
          </w:p>
        </w:tc>
        <w:tc>
          <w:tcPr>
            <w:tcW w:w="1723" w:type="dxa"/>
            <w:vMerge/>
            <w:tcBorders>
              <w:top w:val="single" w:sz="4" w:space="0" w:color="auto"/>
              <w:left w:val="nil"/>
              <w:bottom w:val="single" w:sz="4" w:space="0" w:color="000000"/>
              <w:right w:val="nil"/>
            </w:tcBorders>
            <w:vAlign w:val="center"/>
            <w:hideMark/>
          </w:tcPr>
          <w:p w14:paraId="7146F5BE" w14:textId="77777777" w:rsidR="00ED4163" w:rsidRPr="00ED4163" w:rsidRDefault="00ED4163" w:rsidP="00377A6F">
            <w:pPr>
              <w:rPr>
                <w:color w:val="000000"/>
                <w:sz w:val="22"/>
                <w:szCs w:val="22"/>
              </w:rPr>
            </w:pPr>
          </w:p>
        </w:tc>
      </w:tr>
      <w:tr w:rsidR="00ED4163" w:rsidRPr="00ED4163" w14:paraId="4514F1BF" w14:textId="77777777" w:rsidTr="00D80DF6">
        <w:trPr>
          <w:trHeight w:val="318"/>
        </w:trPr>
        <w:tc>
          <w:tcPr>
            <w:tcW w:w="1212" w:type="dxa"/>
            <w:vMerge w:val="restart"/>
            <w:tcBorders>
              <w:top w:val="nil"/>
              <w:left w:val="nil"/>
              <w:bottom w:val="nil"/>
              <w:right w:val="nil"/>
            </w:tcBorders>
            <w:shd w:val="clear" w:color="000000" w:fill="F2F2F2"/>
            <w:noWrap/>
            <w:vAlign w:val="center"/>
            <w:hideMark/>
          </w:tcPr>
          <w:p w14:paraId="4D850A10" w14:textId="77777777" w:rsidR="00ED4163" w:rsidRPr="00ED4163" w:rsidRDefault="00ED4163" w:rsidP="00377A6F">
            <w:pPr>
              <w:jc w:val="center"/>
              <w:rPr>
                <w:color w:val="000000"/>
                <w:sz w:val="22"/>
                <w:szCs w:val="22"/>
              </w:rPr>
            </w:pPr>
            <w:r w:rsidRPr="00ED4163">
              <w:rPr>
                <w:color w:val="000000"/>
                <w:sz w:val="22"/>
                <w:szCs w:val="22"/>
              </w:rPr>
              <w:t>Study 1</w:t>
            </w:r>
          </w:p>
        </w:tc>
        <w:tc>
          <w:tcPr>
            <w:tcW w:w="2409" w:type="dxa"/>
            <w:tcBorders>
              <w:top w:val="nil"/>
              <w:left w:val="nil"/>
              <w:bottom w:val="nil"/>
              <w:right w:val="nil"/>
            </w:tcBorders>
            <w:shd w:val="clear" w:color="000000" w:fill="F2F2F2"/>
            <w:noWrap/>
            <w:vAlign w:val="center"/>
            <w:hideMark/>
          </w:tcPr>
          <w:p w14:paraId="03DFF908" w14:textId="77777777" w:rsidR="00ED4163" w:rsidRPr="00ED4163" w:rsidRDefault="00ED4163" w:rsidP="00377A6F">
            <w:pPr>
              <w:jc w:val="center"/>
              <w:rPr>
                <w:color w:val="000000"/>
                <w:sz w:val="22"/>
                <w:szCs w:val="22"/>
              </w:rPr>
            </w:pPr>
            <w:r w:rsidRPr="00ED4163">
              <w:rPr>
                <w:color w:val="000000"/>
                <w:sz w:val="22"/>
                <w:szCs w:val="22"/>
              </w:rPr>
              <w:t xml:space="preserve">Original Wording </w:t>
            </w:r>
          </w:p>
        </w:tc>
        <w:tc>
          <w:tcPr>
            <w:tcW w:w="1893" w:type="dxa"/>
            <w:tcBorders>
              <w:top w:val="nil"/>
              <w:left w:val="nil"/>
              <w:bottom w:val="nil"/>
              <w:right w:val="nil"/>
            </w:tcBorders>
            <w:shd w:val="clear" w:color="000000" w:fill="F2F2F2"/>
            <w:noWrap/>
            <w:vAlign w:val="center"/>
            <w:hideMark/>
          </w:tcPr>
          <w:p w14:paraId="42616CFE" w14:textId="0BEC21C4" w:rsidR="00ED4163" w:rsidRPr="00ED4163" w:rsidRDefault="00F5771B" w:rsidP="00377A6F">
            <w:pPr>
              <w:jc w:val="center"/>
              <w:rPr>
                <w:color w:val="000000"/>
                <w:sz w:val="22"/>
                <w:szCs w:val="22"/>
              </w:rPr>
            </w:pPr>
            <w:proofErr w:type="spellStart"/>
            <w:r>
              <w:rPr>
                <w:color w:val="000000"/>
                <w:sz w:val="22"/>
                <w:szCs w:val="22"/>
              </w:rPr>
              <w:t>Pess</w:t>
            </w:r>
            <w:proofErr w:type="spellEnd"/>
            <w:r>
              <w:rPr>
                <w:color w:val="000000"/>
                <w:sz w:val="22"/>
                <w:szCs w:val="22"/>
              </w:rPr>
              <w:t>/</w:t>
            </w:r>
            <w:proofErr w:type="spellStart"/>
            <w:r>
              <w:rPr>
                <w:color w:val="000000"/>
                <w:sz w:val="22"/>
                <w:szCs w:val="22"/>
              </w:rPr>
              <w:t>Opt</w:t>
            </w:r>
            <w:proofErr w:type="spellEnd"/>
          </w:p>
        </w:tc>
        <w:tc>
          <w:tcPr>
            <w:tcW w:w="1404" w:type="dxa"/>
            <w:tcBorders>
              <w:top w:val="nil"/>
              <w:left w:val="nil"/>
              <w:bottom w:val="nil"/>
              <w:right w:val="nil"/>
            </w:tcBorders>
            <w:shd w:val="clear" w:color="000000" w:fill="F2F2F2"/>
            <w:noWrap/>
            <w:vAlign w:val="center"/>
            <w:hideMark/>
          </w:tcPr>
          <w:p w14:paraId="2E9F11E2" w14:textId="77777777" w:rsidR="00ED4163" w:rsidRPr="00ED4163" w:rsidRDefault="00ED4163" w:rsidP="00377A6F">
            <w:pPr>
              <w:jc w:val="center"/>
              <w:rPr>
                <w:color w:val="000000"/>
                <w:sz w:val="22"/>
                <w:szCs w:val="22"/>
              </w:rPr>
            </w:pPr>
            <w:r w:rsidRPr="00ED4163">
              <w:rPr>
                <w:color w:val="000000"/>
                <w:sz w:val="22"/>
                <w:szCs w:val="22"/>
              </w:rPr>
              <w:t>?</w:t>
            </w:r>
          </w:p>
        </w:tc>
        <w:tc>
          <w:tcPr>
            <w:tcW w:w="1341" w:type="dxa"/>
            <w:tcBorders>
              <w:top w:val="nil"/>
              <w:left w:val="nil"/>
              <w:bottom w:val="nil"/>
              <w:right w:val="nil"/>
            </w:tcBorders>
            <w:shd w:val="clear" w:color="000000" w:fill="F2F2F2"/>
            <w:noWrap/>
            <w:vAlign w:val="center"/>
            <w:hideMark/>
          </w:tcPr>
          <w:p w14:paraId="277DDB20" w14:textId="77777777" w:rsidR="00ED4163" w:rsidRPr="00ED4163" w:rsidRDefault="00ED4163" w:rsidP="00377A6F">
            <w:pPr>
              <w:jc w:val="center"/>
              <w:rPr>
                <w:color w:val="000000"/>
                <w:sz w:val="22"/>
                <w:szCs w:val="22"/>
              </w:rPr>
            </w:pPr>
            <w:r w:rsidRPr="00ED4163">
              <w:rPr>
                <w:color w:val="000000"/>
                <w:sz w:val="22"/>
                <w:szCs w:val="22"/>
              </w:rPr>
              <w:t>Yes</w:t>
            </w:r>
          </w:p>
        </w:tc>
        <w:tc>
          <w:tcPr>
            <w:tcW w:w="1723" w:type="dxa"/>
            <w:tcBorders>
              <w:top w:val="nil"/>
              <w:left w:val="nil"/>
              <w:bottom w:val="nil"/>
              <w:right w:val="nil"/>
            </w:tcBorders>
            <w:shd w:val="clear" w:color="000000" w:fill="F2F2F2"/>
            <w:noWrap/>
            <w:vAlign w:val="center"/>
            <w:hideMark/>
          </w:tcPr>
          <w:p w14:paraId="224C342B" w14:textId="77777777" w:rsidR="00ED4163" w:rsidRPr="00ED4163" w:rsidRDefault="00ED4163" w:rsidP="00377A6F">
            <w:pPr>
              <w:jc w:val="center"/>
              <w:rPr>
                <w:color w:val="000000"/>
                <w:sz w:val="22"/>
                <w:szCs w:val="22"/>
              </w:rPr>
            </w:pPr>
            <w:r w:rsidRPr="00ED4163">
              <w:rPr>
                <w:color w:val="000000"/>
                <w:sz w:val="22"/>
                <w:szCs w:val="22"/>
              </w:rPr>
              <w:t>Above</w:t>
            </w:r>
          </w:p>
        </w:tc>
      </w:tr>
      <w:tr w:rsidR="00ED4163" w:rsidRPr="00ED4163" w14:paraId="5E8C609E" w14:textId="77777777" w:rsidTr="00D80DF6">
        <w:trPr>
          <w:trHeight w:val="306"/>
        </w:trPr>
        <w:tc>
          <w:tcPr>
            <w:tcW w:w="1212" w:type="dxa"/>
            <w:vMerge/>
            <w:tcBorders>
              <w:top w:val="nil"/>
              <w:left w:val="nil"/>
              <w:bottom w:val="nil"/>
              <w:right w:val="nil"/>
            </w:tcBorders>
            <w:vAlign w:val="center"/>
            <w:hideMark/>
          </w:tcPr>
          <w:p w14:paraId="4F8AF91D" w14:textId="77777777" w:rsidR="00ED4163" w:rsidRPr="00ED4163" w:rsidRDefault="00ED4163" w:rsidP="00377A6F">
            <w:pPr>
              <w:rPr>
                <w:color w:val="000000"/>
                <w:sz w:val="22"/>
                <w:szCs w:val="22"/>
              </w:rPr>
            </w:pPr>
          </w:p>
        </w:tc>
        <w:tc>
          <w:tcPr>
            <w:tcW w:w="2409" w:type="dxa"/>
            <w:tcBorders>
              <w:top w:val="nil"/>
              <w:left w:val="nil"/>
              <w:bottom w:val="nil"/>
              <w:right w:val="nil"/>
            </w:tcBorders>
            <w:shd w:val="clear" w:color="000000" w:fill="F2F2F2"/>
            <w:noWrap/>
            <w:vAlign w:val="center"/>
            <w:hideMark/>
          </w:tcPr>
          <w:p w14:paraId="2183A760" w14:textId="1BFA3AB3" w:rsidR="00ED4163" w:rsidRPr="00ED4163" w:rsidRDefault="00EA2A9B" w:rsidP="00377A6F">
            <w:pPr>
              <w:jc w:val="center"/>
              <w:rPr>
                <w:color w:val="000000"/>
                <w:sz w:val="22"/>
                <w:szCs w:val="22"/>
              </w:rPr>
            </w:pPr>
            <w:r>
              <w:rPr>
                <w:color w:val="000000"/>
                <w:sz w:val="22"/>
                <w:szCs w:val="22"/>
              </w:rPr>
              <w:t>Estimation</w:t>
            </w:r>
            <w:r w:rsidR="00A73E82" w:rsidRPr="004D00D7">
              <w:rPr>
                <w:color w:val="000000"/>
                <w:sz w:val="22"/>
                <w:szCs w:val="22"/>
              </w:rPr>
              <w:t xml:space="preserve"> </w:t>
            </w:r>
            <w:r w:rsidR="00ED4163" w:rsidRPr="004D00D7">
              <w:rPr>
                <w:color w:val="000000"/>
                <w:sz w:val="22"/>
                <w:szCs w:val="22"/>
              </w:rPr>
              <w:t>Wording</w:t>
            </w:r>
          </w:p>
        </w:tc>
        <w:tc>
          <w:tcPr>
            <w:tcW w:w="1893" w:type="dxa"/>
            <w:tcBorders>
              <w:top w:val="nil"/>
              <w:left w:val="nil"/>
              <w:bottom w:val="nil"/>
              <w:right w:val="nil"/>
            </w:tcBorders>
            <w:shd w:val="clear" w:color="000000" w:fill="F2F2F2"/>
            <w:noWrap/>
            <w:vAlign w:val="center"/>
            <w:hideMark/>
          </w:tcPr>
          <w:p w14:paraId="52B8DF8C" w14:textId="2163824D" w:rsidR="00ED4163" w:rsidRPr="00ED4163" w:rsidRDefault="00F5771B" w:rsidP="00377A6F">
            <w:pPr>
              <w:jc w:val="center"/>
              <w:rPr>
                <w:color w:val="000000"/>
                <w:sz w:val="22"/>
                <w:szCs w:val="22"/>
              </w:rPr>
            </w:pPr>
            <w:r>
              <w:rPr>
                <w:color w:val="000000"/>
                <w:sz w:val="22"/>
                <w:szCs w:val="22"/>
              </w:rPr>
              <w:t>Under/Over Est</w:t>
            </w:r>
          </w:p>
        </w:tc>
        <w:tc>
          <w:tcPr>
            <w:tcW w:w="1404" w:type="dxa"/>
            <w:tcBorders>
              <w:top w:val="nil"/>
              <w:left w:val="nil"/>
              <w:bottom w:val="nil"/>
              <w:right w:val="nil"/>
            </w:tcBorders>
            <w:shd w:val="clear" w:color="000000" w:fill="F2F2F2"/>
            <w:noWrap/>
            <w:vAlign w:val="center"/>
            <w:hideMark/>
          </w:tcPr>
          <w:p w14:paraId="1964D740" w14:textId="77777777" w:rsidR="00ED4163" w:rsidRPr="00ED4163" w:rsidRDefault="00ED4163" w:rsidP="00377A6F">
            <w:pPr>
              <w:jc w:val="center"/>
              <w:rPr>
                <w:color w:val="000000"/>
                <w:sz w:val="22"/>
                <w:szCs w:val="22"/>
              </w:rPr>
            </w:pPr>
            <w:r w:rsidRPr="00ED4163">
              <w:rPr>
                <w:color w:val="000000"/>
                <w:sz w:val="22"/>
                <w:szCs w:val="22"/>
              </w:rPr>
              <w:t>No</w:t>
            </w:r>
          </w:p>
        </w:tc>
        <w:tc>
          <w:tcPr>
            <w:tcW w:w="1341" w:type="dxa"/>
            <w:tcBorders>
              <w:top w:val="nil"/>
              <w:left w:val="nil"/>
              <w:bottom w:val="nil"/>
              <w:right w:val="nil"/>
            </w:tcBorders>
            <w:shd w:val="clear" w:color="000000" w:fill="F2F2F2"/>
            <w:noWrap/>
            <w:vAlign w:val="center"/>
            <w:hideMark/>
          </w:tcPr>
          <w:p w14:paraId="4CA2807A" w14:textId="77777777" w:rsidR="00ED4163" w:rsidRPr="00ED4163" w:rsidRDefault="00ED4163" w:rsidP="00377A6F">
            <w:pPr>
              <w:jc w:val="center"/>
              <w:rPr>
                <w:color w:val="000000"/>
                <w:sz w:val="22"/>
                <w:szCs w:val="22"/>
              </w:rPr>
            </w:pPr>
            <w:r w:rsidRPr="00ED4163">
              <w:rPr>
                <w:color w:val="000000"/>
                <w:sz w:val="22"/>
                <w:szCs w:val="22"/>
              </w:rPr>
              <w:t>No</w:t>
            </w:r>
          </w:p>
        </w:tc>
        <w:tc>
          <w:tcPr>
            <w:tcW w:w="1723" w:type="dxa"/>
            <w:tcBorders>
              <w:top w:val="nil"/>
              <w:left w:val="nil"/>
              <w:bottom w:val="nil"/>
              <w:right w:val="nil"/>
            </w:tcBorders>
            <w:shd w:val="clear" w:color="000000" w:fill="F2F2F2"/>
            <w:noWrap/>
            <w:vAlign w:val="center"/>
            <w:hideMark/>
          </w:tcPr>
          <w:p w14:paraId="11279413" w14:textId="77777777" w:rsidR="00ED4163" w:rsidRPr="00ED4163" w:rsidRDefault="00ED4163" w:rsidP="00377A6F">
            <w:pPr>
              <w:jc w:val="center"/>
              <w:rPr>
                <w:color w:val="000000"/>
                <w:sz w:val="22"/>
                <w:szCs w:val="22"/>
              </w:rPr>
            </w:pPr>
            <w:r w:rsidRPr="00ED4163">
              <w:rPr>
                <w:color w:val="000000"/>
                <w:sz w:val="22"/>
                <w:szCs w:val="22"/>
              </w:rPr>
              <w:t>Below</w:t>
            </w:r>
          </w:p>
        </w:tc>
      </w:tr>
      <w:tr w:rsidR="00ED4163" w:rsidRPr="00ED4163" w14:paraId="52747280" w14:textId="77777777" w:rsidTr="00D80DF6">
        <w:trPr>
          <w:trHeight w:val="350"/>
        </w:trPr>
        <w:tc>
          <w:tcPr>
            <w:tcW w:w="1212" w:type="dxa"/>
            <w:vMerge w:val="restart"/>
            <w:tcBorders>
              <w:top w:val="nil"/>
              <w:left w:val="nil"/>
              <w:bottom w:val="nil"/>
              <w:right w:val="nil"/>
            </w:tcBorders>
            <w:shd w:val="clear" w:color="000000" w:fill="FFFFFF"/>
            <w:noWrap/>
            <w:vAlign w:val="center"/>
            <w:hideMark/>
          </w:tcPr>
          <w:p w14:paraId="4A638848" w14:textId="77777777" w:rsidR="00ED4163" w:rsidRPr="00ED4163" w:rsidRDefault="00ED4163" w:rsidP="00377A6F">
            <w:pPr>
              <w:jc w:val="center"/>
              <w:rPr>
                <w:color w:val="000000"/>
                <w:sz w:val="22"/>
                <w:szCs w:val="22"/>
              </w:rPr>
            </w:pPr>
            <w:r w:rsidRPr="00ED4163">
              <w:rPr>
                <w:color w:val="000000"/>
                <w:sz w:val="22"/>
                <w:szCs w:val="22"/>
              </w:rPr>
              <w:t>Study 2</w:t>
            </w:r>
          </w:p>
        </w:tc>
        <w:tc>
          <w:tcPr>
            <w:tcW w:w="2409" w:type="dxa"/>
            <w:tcBorders>
              <w:top w:val="nil"/>
              <w:left w:val="nil"/>
              <w:bottom w:val="nil"/>
              <w:right w:val="nil"/>
            </w:tcBorders>
            <w:shd w:val="clear" w:color="000000" w:fill="FFFFFF"/>
            <w:noWrap/>
            <w:vAlign w:val="center"/>
            <w:hideMark/>
          </w:tcPr>
          <w:p w14:paraId="677007CC" w14:textId="77777777" w:rsidR="00ED4163" w:rsidRPr="00ED4163" w:rsidRDefault="00ED4163" w:rsidP="00377A6F">
            <w:pPr>
              <w:jc w:val="center"/>
              <w:rPr>
                <w:color w:val="000000"/>
                <w:sz w:val="22"/>
                <w:szCs w:val="22"/>
              </w:rPr>
            </w:pPr>
            <w:r w:rsidRPr="00ED4163">
              <w:rPr>
                <w:color w:val="000000"/>
                <w:sz w:val="22"/>
                <w:szCs w:val="22"/>
              </w:rPr>
              <w:t>Feeling Wording</w:t>
            </w:r>
          </w:p>
        </w:tc>
        <w:tc>
          <w:tcPr>
            <w:tcW w:w="1893" w:type="dxa"/>
            <w:tcBorders>
              <w:top w:val="nil"/>
              <w:left w:val="nil"/>
              <w:bottom w:val="nil"/>
              <w:right w:val="nil"/>
            </w:tcBorders>
            <w:shd w:val="clear" w:color="000000" w:fill="FFFFFF"/>
            <w:noWrap/>
            <w:vAlign w:val="center"/>
            <w:hideMark/>
          </w:tcPr>
          <w:p w14:paraId="4FE80E8D" w14:textId="018A77D4" w:rsidR="00ED4163" w:rsidRPr="00ED4163" w:rsidRDefault="00F5771B" w:rsidP="00377A6F">
            <w:pPr>
              <w:jc w:val="center"/>
              <w:rPr>
                <w:color w:val="000000"/>
                <w:sz w:val="22"/>
                <w:szCs w:val="22"/>
              </w:rPr>
            </w:pPr>
            <w:proofErr w:type="spellStart"/>
            <w:r>
              <w:rPr>
                <w:color w:val="000000"/>
                <w:sz w:val="22"/>
                <w:szCs w:val="22"/>
              </w:rPr>
              <w:t>Pess</w:t>
            </w:r>
            <w:proofErr w:type="spellEnd"/>
            <w:r>
              <w:rPr>
                <w:color w:val="000000"/>
                <w:sz w:val="22"/>
                <w:szCs w:val="22"/>
              </w:rPr>
              <w:t>/</w:t>
            </w:r>
            <w:proofErr w:type="spellStart"/>
            <w:r>
              <w:rPr>
                <w:color w:val="000000"/>
                <w:sz w:val="22"/>
                <w:szCs w:val="22"/>
              </w:rPr>
              <w:t>Opt</w:t>
            </w:r>
            <w:proofErr w:type="spellEnd"/>
          </w:p>
        </w:tc>
        <w:tc>
          <w:tcPr>
            <w:tcW w:w="1404" w:type="dxa"/>
            <w:tcBorders>
              <w:top w:val="nil"/>
              <w:left w:val="nil"/>
              <w:bottom w:val="nil"/>
              <w:right w:val="nil"/>
            </w:tcBorders>
            <w:shd w:val="clear" w:color="000000" w:fill="FFFFFF"/>
            <w:noWrap/>
            <w:vAlign w:val="center"/>
            <w:hideMark/>
          </w:tcPr>
          <w:p w14:paraId="14831137" w14:textId="77777777" w:rsidR="00ED4163" w:rsidRPr="00ED4163" w:rsidRDefault="00ED4163" w:rsidP="00377A6F">
            <w:pPr>
              <w:jc w:val="center"/>
              <w:rPr>
                <w:color w:val="000000"/>
                <w:sz w:val="22"/>
                <w:szCs w:val="22"/>
              </w:rPr>
            </w:pPr>
            <w:r w:rsidRPr="00ED4163">
              <w:rPr>
                <w:color w:val="000000"/>
                <w:sz w:val="22"/>
                <w:szCs w:val="22"/>
              </w:rPr>
              <w:t>Yes</w:t>
            </w:r>
          </w:p>
        </w:tc>
        <w:tc>
          <w:tcPr>
            <w:tcW w:w="1341" w:type="dxa"/>
            <w:tcBorders>
              <w:top w:val="nil"/>
              <w:left w:val="nil"/>
              <w:bottom w:val="nil"/>
              <w:right w:val="nil"/>
            </w:tcBorders>
            <w:shd w:val="clear" w:color="000000" w:fill="FFFFFF"/>
            <w:noWrap/>
            <w:vAlign w:val="center"/>
            <w:hideMark/>
          </w:tcPr>
          <w:p w14:paraId="0338243B" w14:textId="77777777" w:rsidR="00ED4163" w:rsidRPr="00ED4163" w:rsidRDefault="00ED4163" w:rsidP="00377A6F">
            <w:pPr>
              <w:jc w:val="center"/>
              <w:rPr>
                <w:color w:val="000000"/>
                <w:sz w:val="22"/>
                <w:szCs w:val="22"/>
              </w:rPr>
            </w:pPr>
            <w:r w:rsidRPr="00ED4163">
              <w:rPr>
                <w:color w:val="000000"/>
                <w:sz w:val="22"/>
                <w:szCs w:val="22"/>
              </w:rPr>
              <w:t>No</w:t>
            </w:r>
          </w:p>
        </w:tc>
        <w:tc>
          <w:tcPr>
            <w:tcW w:w="1723" w:type="dxa"/>
            <w:tcBorders>
              <w:top w:val="nil"/>
              <w:left w:val="nil"/>
              <w:bottom w:val="nil"/>
              <w:right w:val="nil"/>
            </w:tcBorders>
            <w:shd w:val="clear" w:color="000000" w:fill="FFFFFF"/>
            <w:noWrap/>
            <w:vAlign w:val="center"/>
            <w:hideMark/>
          </w:tcPr>
          <w:p w14:paraId="1BD29638" w14:textId="77777777" w:rsidR="00ED4163" w:rsidRPr="00ED4163" w:rsidRDefault="00ED4163" w:rsidP="00377A6F">
            <w:pPr>
              <w:jc w:val="center"/>
              <w:rPr>
                <w:color w:val="000000"/>
                <w:sz w:val="22"/>
                <w:szCs w:val="22"/>
              </w:rPr>
            </w:pPr>
            <w:r w:rsidRPr="00ED4163">
              <w:rPr>
                <w:color w:val="000000"/>
                <w:sz w:val="22"/>
                <w:szCs w:val="22"/>
              </w:rPr>
              <w:t xml:space="preserve">Above </w:t>
            </w:r>
          </w:p>
        </w:tc>
      </w:tr>
      <w:tr w:rsidR="00ED4163" w:rsidRPr="00ED4163" w14:paraId="16F9B9FF" w14:textId="77777777" w:rsidTr="00D80DF6">
        <w:trPr>
          <w:trHeight w:val="392"/>
        </w:trPr>
        <w:tc>
          <w:tcPr>
            <w:tcW w:w="1212" w:type="dxa"/>
            <w:vMerge/>
            <w:tcBorders>
              <w:top w:val="nil"/>
              <w:left w:val="nil"/>
              <w:bottom w:val="nil"/>
              <w:right w:val="nil"/>
            </w:tcBorders>
            <w:vAlign w:val="center"/>
            <w:hideMark/>
          </w:tcPr>
          <w:p w14:paraId="58597EED" w14:textId="77777777" w:rsidR="00ED4163" w:rsidRPr="00ED4163" w:rsidRDefault="00ED4163" w:rsidP="00377A6F">
            <w:pPr>
              <w:rPr>
                <w:color w:val="000000"/>
                <w:sz w:val="22"/>
                <w:szCs w:val="22"/>
              </w:rPr>
            </w:pPr>
          </w:p>
        </w:tc>
        <w:tc>
          <w:tcPr>
            <w:tcW w:w="2409" w:type="dxa"/>
            <w:tcBorders>
              <w:top w:val="nil"/>
              <w:left w:val="nil"/>
              <w:bottom w:val="nil"/>
              <w:right w:val="nil"/>
            </w:tcBorders>
            <w:shd w:val="clear" w:color="000000" w:fill="FFFFFF"/>
            <w:noWrap/>
            <w:vAlign w:val="center"/>
            <w:hideMark/>
          </w:tcPr>
          <w:p w14:paraId="7C672F8C" w14:textId="77777777" w:rsidR="00ED4163" w:rsidRPr="00ED4163" w:rsidRDefault="00ED4163" w:rsidP="00377A6F">
            <w:pPr>
              <w:jc w:val="center"/>
              <w:rPr>
                <w:color w:val="000000"/>
                <w:sz w:val="22"/>
                <w:szCs w:val="22"/>
              </w:rPr>
            </w:pPr>
            <w:r w:rsidRPr="00ED4163">
              <w:rPr>
                <w:color w:val="000000"/>
                <w:sz w:val="22"/>
                <w:szCs w:val="22"/>
              </w:rPr>
              <w:t>Thinking Wording</w:t>
            </w:r>
          </w:p>
        </w:tc>
        <w:tc>
          <w:tcPr>
            <w:tcW w:w="1893" w:type="dxa"/>
            <w:tcBorders>
              <w:top w:val="nil"/>
              <w:left w:val="nil"/>
              <w:bottom w:val="nil"/>
              <w:right w:val="nil"/>
            </w:tcBorders>
            <w:shd w:val="clear" w:color="000000" w:fill="FFFFFF"/>
            <w:noWrap/>
            <w:vAlign w:val="center"/>
            <w:hideMark/>
          </w:tcPr>
          <w:p w14:paraId="1D980BD1" w14:textId="3823A7CE" w:rsidR="00ED4163" w:rsidRPr="00ED4163" w:rsidRDefault="00F5771B" w:rsidP="00377A6F">
            <w:pPr>
              <w:jc w:val="center"/>
              <w:rPr>
                <w:color w:val="000000"/>
                <w:sz w:val="22"/>
                <w:szCs w:val="22"/>
              </w:rPr>
            </w:pPr>
            <w:proofErr w:type="spellStart"/>
            <w:r>
              <w:rPr>
                <w:color w:val="000000"/>
                <w:sz w:val="22"/>
                <w:szCs w:val="22"/>
              </w:rPr>
              <w:t>Pess</w:t>
            </w:r>
            <w:proofErr w:type="spellEnd"/>
            <w:r>
              <w:rPr>
                <w:color w:val="000000"/>
                <w:sz w:val="22"/>
                <w:szCs w:val="22"/>
              </w:rPr>
              <w:t>/</w:t>
            </w:r>
            <w:proofErr w:type="spellStart"/>
            <w:r>
              <w:rPr>
                <w:color w:val="000000"/>
                <w:sz w:val="22"/>
                <w:szCs w:val="22"/>
              </w:rPr>
              <w:t>Opt</w:t>
            </w:r>
            <w:proofErr w:type="spellEnd"/>
          </w:p>
        </w:tc>
        <w:tc>
          <w:tcPr>
            <w:tcW w:w="1404" w:type="dxa"/>
            <w:tcBorders>
              <w:top w:val="nil"/>
              <w:left w:val="nil"/>
              <w:bottom w:val="nil"/>
              <w:right w:val="nil"/>
            </w:tcBorders>
            <w:shd w:val="clear" w:color="000000" w:fill="FFFFFF"/>
            <w:noWrap/>
            <w:vAlign w:val="center"/>
            <w:hideMark/>
          </w:tcPr>
          <w:p w14:paraId="6D0A1170" w14:textId="77777777" w:rsidR="00ED4163" w:rsidRPr="00ED4163" w:rsidRDefault="00ED4163" w:rsidP="00377A6F">
            <w:pPr>
              <w:jc w:val="center"/>
              <w:rPr>
                <w:color w:val="000000"/>
                <w:sz w:val="22"/>
                <w:szCs w:val="22"/>
              </w:rPr>
            </w:pPr>
            <w:r w:rsidRPr="00ED4163">
              <w:rPr>
                <w:color w:val="000000"/>
                <w:sz w:val="22"/>
                <w:szCs w:val="22"/>
              </w:rPr>
              <w:t>No</w:t>
            </w:r>
          </w:p>
        </w:tc>
        <w:tc>
          <w:tcPr>
            <w:tcW w:w="1341" w:type="dxa"/>
            <w:tcBorders>
              <w:top w:val="nil"/>
              <w:left w:val="nil"/>
              <w:bottom w:val="nil"/>
              <w:right w:val="nil"/>
            </w:tcBorders>
            <w:shd w:val="clear" w:color="000000" w:fill="FFFFFF"/>
            <w:noWrap/>
            <w:vAlign w:val="center"/>
            <w:hideMark/>
          </w:tcPr>
          <w:p w14:paraId="364BDE97" w14:textId="77777777" w:rsidR="00ED4163" w:rsidRPr="00ED4163" w:rsidRDefault="00ED4163" w:rsidP="00377A6F">
            <w:pPr>
              <w:jc w:val="center"/>
              <w:rPr>
                <w:color w:val="000000"/>
                <w:sz w:val="22"/>
                <w:szCs w:val="22"/>
              </w:rPr>
            </w:pPr>
            <w:r w:rsidRPr="00ED4163">
              <w:rPr>
                <w:color w:val="000000"/>
                <w:sz w:val="22"/>
                <w:szCs w:val="22"/>
              </w:rPr>
              <w:t>No</w:t>
            </w:r>
          </w:p>
        </w:tc>
        <w:tc>
          <w:tcPr>
            <w:tcW w:w="1723" w:type="dxa"/>
            <w:tcBorders>
              <w:top w:val="nil"/>
              <w:left w:val="nil"/>
              <w:bottom w:val="nil"/>
              <w:right w:val="nil"/>
            </w:tcBorders>
            <w:shd w:val="clear" w:color="000000" w:fill="FFFFFF"/>
            <w:noWrap/>
            <w:vAlign w:val="center"/>
            <w:hideMark/>
          </w:tcPr>
          <w:p w14:paraId="17A705B9" w14:textId="77777777" w:rsidR="00ED4163" w:rsidRPr="00ED4163" w:rsidRDefault="00ED4163" w:rsidP="00377A6F">
            <w:pPr>
              <w:jc w:val="center"/>
              <w:rPr>
                <w:color w:val="000000"/>
                <w:sz w:val="22"/>
                <w:szCs w:val="22"/>
              </w:rPr>
            </w:pPr>
            <w:r w:rsidRPr="00ED4163">
              <w:rPr>
                <w:color w:val="000000"/>
                <w:sz w:val="22"/>
                <w:szCs w:val="22"/>
              </w:rPr>
              <w:t>Above</w:t>
            </w:r>
          </w:p>
        </w:tc>
      </w:tr>
      <w:tr w:rsidR="00ED4163" w:rsidRPr="00ED4163" w14:paraId="0D6403EE" w14:textId="77777777" w:rsidTr="00D80DF6">
        <w:trPr>
          <w:trHeight w:val="286"/>
        </w:trPr>
        <w:tc>
          <w:tcPr>
            <w:tcW w:w="1212" w:type="dxa"/>
            <w:vMerge w:val="restart"/>
            <w:tcBorders>
              <w:top w:val="nil"/>
              <w:left w:val="nil"/>
              <w:bottom w:val="single" w:sz="4" w:space="0" w:color="000000"/>
              <w:right w:val="nil"/>
            </w:tcBorders>
            <w:shd w:val="clear" w:color="000000" w:fill="F2F2F2"/>
            <w:noWrap/>
            <w:vAlign w:val="center"/>
            <w:hideMark/>
          </w:tcPr>
          <w:p w14:paraId="05612629" w14:textId="77777777" w:rsidR="00ED4163" w:rsidRPr="00ED4163" w:rsidRDefault="00ED4163" w:rsidP="00377A6F">
            <w:pPr>
              <w:jc w:val="center"/>
              <w:rPr>
                <w:color w:val="000000"/>
                <w:sz w:val="22"/>
                <w:szCs w:val="22"/>
              </w:rPr>
            </w:pPr>
            <w:r w:rsidRPr="00ED4163">
              <w:rPr>
                <w:color w:val="000000"/>
                <w:sz w:val="22"/>
                <w:szCs w:val="22"/>
              </w:rPr>
              <w:t>Study 3</w:t>
            </w:r>
          </w:p>
        </w:tc>
        <w:tc>
          <w:tcPr>
            <w:tcW w:w="2409" w:type="dxa"/>
            <w:tcBorders>
              <w:top w:val="nil"/>
              <w:left w:val="nil"/>
              <w:bottom w:val="nil"/>
              <w:right w:val="nil"/>
            </w:tcBorders>
            <w:shd w:val="clear" w:color="000000" w:fill="F2F2F2"/>
            <w:noWrap/>
            <w:vAlign w:val="center"/>
            <w:hideMark/>
          </w:tcPr>
          <w:p w14:paraId="7B01A10C" w14:textId="77777777" w:rsidR="00ED4163" w:rsidRPr="00ED4163" w:rsidRDefault="00ED4163" w:rsidP="00377A6F">
            <w:pPr>
              <w:jc w:val="center"/>
              <w:rPr>
                <w:color w:val="000000"/>
                <w:sz w:val="22"/>
                <w:szCs w:val="22"/>
              </w:rPr>
            </w:pPr>
            <w:r w:rsidRPr="00ED4163">
              <w:rPr>
                <w:color w:val="000000"/>
                <w:sz w:val="22"/>
                <w:szCs w:val="22"/>
              </w:rPr>
              <w:t>Feeling Wording</w:t>
            </w:r>
          </w:p>
        </w:tc>
        <w:tc>
          <w:tcPr>
            <w:tcW w:w="1893" w:type="dxa"/>
            <w:tcBorders>
              <w:top w:val="nil"/>
              <w:left w:val="nil"/>
              <w:bottom w:val="nil"/>
              <w:right w:val="nil"/>
            </w:tcBorders>
            <w:shd w:val="clear" w:color="000000" w:fill="F2F2F2"/>
            <w:noWrap/>
            <w:vAlign w:val="center"/>
            <w:hideMark/>
          </w:tcPr>
          <w:p w14:paraId="088C455F" w14:textId="4AE94E9F" w:rsidR="00ED4163" w:rsidRPr="00ED4163" w:rsidRDefault="00F5771B" w:rsidP="00377A6F">
            <w:pPr>
              <w:jc w:val="center"/>
              <w:rPr>
                <w:color w:val="000000"/>
                <w:sz w:val="22"/>
                <w:szCs w:val="22"/>
              </w:rPr>
            </w:pPr>
            <w:proofErr w:type="spellStart"/>
            <w:r>
              <w:rPr>
                <w:color w:val="000000"/>
                <w:sz w:val="22"/>
                <w:szCs w:val="22"/>
              </w:rPr>
              <w:t>Pess</w:t>
            </w:r>
            <w:proofErr w:type="spellEnd"/>
            <w:r>
              <w:rPr>
                <w:color w:val="000000"/>
                <w:sz w:val="22"/>
                <w:szCs w:val="22"/>
              </w:rPr>
              <w:t>/</w:t>
            </w:r>
            <w:proofErr w:type="spellStart"/>
            <w:r>
              <w:rPr>
                <w:color w:val="000000"/>
                <w:sz w:val="22"/>
                <w:szCs w:val="22"/>
              </w:rPr>
              <w:t>Opt</w:t>
            </w:r>
            <w:proofErr w:type="spellEnd"/>
          </w:p>
        </w:tc>
        <w:tc>
          <w:tcPr>
            <w:tcW w:w="1404" w:type="dxa"/>
            <w:tcBorders>
              <w:top w:val="nil"/>
              <w:left w:val="nil"/>
              <w:bottom w:val="nil"/>
              <w:right w:val="nil"/>
            </w:tcBorders>
            <w:shd w:val="clear" w:color="000000" w:fill="F2F2F2"/>
            <w:noWrap/>
            <w:vAlign w:val="center"/>
            <w:hideMark/>
          </w:tcPr>
          <w:p w14:paraId="084DF24E" w14:textId="77777777" w:rsidR="00ED4163" w:rsidRPr="00ED4163" w:rsidRDefault="00ED4163" w:rsidP="00377A6F">
            <w:pPr>
              <w:jc w:val="center"/>
              <w:rPr>
                <w:color w:val="000000"/>
                <w:sz w:val="22"/>
                <w:szCs w:val="22"/>
              </w:rPr>
            </w:pPr>
            <w:r w:rsidRPr="00ED4163">
              <w:rPr>
                <w:color w:val="000000"/>
                <w:sz w:val="22"/>
                <w:szCs w:val="22"/>
              </w:rPr>
              <w:t>Yes</w:t>
            </w:r>
          </w:p>
        </w:tc>
        <w:tc>
          <w:tcPr>
            <w:tcW w:w="1341" w:type="dxa"/>
            <w:tcBorders>
              <w:top w:val="nil"/>
              <w:left w:val="nil"/>
              <w:bottom w:val="nil"/>
              <w:right w:val="nil"/>
            </w:tcBorders>
            <w:shd w:val="clear" w:color="000000" w:fill="F2F2F2"/>
            <w:noWrap/>
            <w:vAlign w:val="center"/>
            <w:hideMark/>
          </w:tcPr>
          <w:p w14:paraId="315554EE" w14:textId="77777777" w:rsidR="00ED4163" w:rsidRPr="00ED4163" w:rsidRDefault="00ED4163" w:rsidP="00377A6F">
            <w:pPr>
              <w:jc w:val="center"/>
              <w:rPr>
                <w:color w:val="000000"/>
                <w:sz w:val="22"/>
                <w:szCs w:val="22"/>
              </w:rPr>
            </w:pPr>
            <w:r w:rsidRPr="00ED4163">
              <w:rPr>
                <w:color w:val="000000"/>
                <w:sz w:val="22"/>
                <w:szCs w:val="22"/>
              </w:rPr>
              <w:t>No</w:t>
            </w:r>
          </w:p>
        </w:tc>
        <w:tc>
          <w:tcPr>
            <w:tcW w:w="1723" w:type="dxa"/>
            <w:tcBorders>
              <w:top w:val="nil"/>
              <w:left w:val="nil"/>
              <w:bottom w:val="nil"/>
              <w:right w:val="nil"/>
            </w:tcBorders>
            <w:shd w:val="clear" w:color="000000" w:fill="F2F2F2"/>
            <w:noWrap/>
            <w:vAlign w:val="center"/>
            <w:hideMark/>
          </w:tcPr>
          <w:p w14:paraId="31A809F3" w14:textId="77777777" w:rsidR="00ED4163" w:rsidRPr="00ED4163" w:rsidRDefault="00ED4163" w:rsidP="00377A6F">
            <w:pPr>
              <w:jc w:val="center"/>
              <w:rPr>
                <w:color w:val="000000"/>
                <w:sz w:val="22"/>
                <w:szCs w:val="22"/>
              </w:rPr>
            </w:pPr>
            <w:r w:rsidRPr="00ED4163">
              <w:rPr>
                <w:color w:val="000000"/>
                <w:sz w:val="22"/>
                <w:szCs w:val="22"/>
              </w:rPr>
              <w:t>Above</w:t>
            </w:r>
          </w:p>
        </w:tc>
      </w:tr>
      <w:tr w:rsidR="00ED4163" w:rsidRPr="00ED4163" w14:paraId="11916F8F" w14:textId="77777777" w:rsidTr="00D80DF6">
        <w:trPr>
          <w:trHeight w:val="419"/>
        </w:trPr>
        <w:tc>
          <w:tcPr>
            <w:tcW w:w="1212" w:type="dxa"/>
            <w:vMerge/>
            <w:tcBorders>
              <w:top w:val="nil"/>
              <w:left w:val="nil"/>
              <w:bottom w:val="single" w:sz="4" w:space="0" w:color="000000"/>
              <w:right w:val="nil"/>
            </w:tcBorders>
            <w:vAlign w:val="center"/>
            <w:hideMark/>
          </w:tcPr>
          <w:p w14:paraId="50F77190" w14:textId="77777777" w:rsidR="00ED4163" w:rsidRPr="00ED4163" w:rsidRDefault="00ED4163" w:rsidP="00377A6F">
            <w:pPr>
              <w:rPr>
                <w:color w:val="000000"/>
                <w:sz w:val="22"/>
                <w:szCs w:val="22"/>
              </w:rPr>
            </w:pPr>
          </w:p>
        </w:tc>
        <w:tc>
          <w:tcPr>
            <w:tcW w:w="2409" w:type="dxa"/>
            <w:tcBorders>
              <w:top w:val="nil"/>
              <w:left w:val="nil"/>
              <w:bottom w:val="single" w:sz="4" w:space="0" w:color="auto"/>
              <w:right w:val="nil"/>
            </w:tcBorders>
            <w:shd w:val="clear" w:color="000000" w:fill="F2F2F2"/>
            <w:noWrap/>
            <w:vAlign w:val="center"/>
            <w:hideMark/>
          </w:tcPr>
          <w:p w14:paraId="3FCC92AE" w14:textId="0A6CDFBC" w:rsidR="00BE156B" w:rsidRPr="00ED4163" w:rsidRDefault="004B5DF0" w:rsidP="005E0FD3">
            <w:pPr>
              <w:jc w:val="center"/>
              <w:rPr>
                <w:color w:val="000000"/>
                <w:sz w:val="22"/>
                <w:szCs w:val="22"/>
              </w:rPr>
            </w:pPr>
            <w:r>
              <w:rPr>
                <w:color w:val="000000"/>
                <w:sz w:val="22"/>
                <w:szCs w:val="22"/>
              </w:rPr>
              <w:t>Estimation</w:t>
            </w:r>
            <w:r w:rsidR="00AA762C">
              <w:rPr>
                <w:color w:val="000000"/>
                <w:sz w:val="22"/>
                <w:szCs w:val="22"/>
              </w:rPr>
              <w:t xml:space="preserve"> </w:t>
            </w:r>
            <w:r w:rsidR="00ED4163" w:rsidRPr="00ED4163">
              <w:rPr>
                <w:color w:val="000000"/>
                <w:sz w:val="22"/>
                <w:szCs w:val="22"/>
              </w:rPr>
              <w:t>Wording</w:t>
            </w:r>
          </w:p>
        </w:tc>
        <w:tc>
          <w:tcPr>
            <w:tcW w:w="1893" w:type="dxa"/>
            <w:tcBorders>
              <w:top w:val="nil"/>
              <w:left w:val="nil"/>
              <w:bottom w:val="single" w:sz="4" w:space="0" w:color="auto"/>
              <w:right w:val="nil"/>
            </w:tcBorders>
            <w:shd w:val="clear" w:color="000000" w:fill="F2F2F2"/>
            <w:noWrap/>
            <w:vAlign w:val="center"/>
            <w:hideMark/>
          </w:tcPr>
          <w:p w14:paraId="2623F03C" w14:textId="737A0552" w:rsidR="00ED4163" w:rsidRPr="00ED4163" w:rsidRDefault="00F5771B" w:rsidP="00377A6F">
            <w:pPr>
              <w:jc w:val="center"/>
              <w:rPr>
                <w:color w:val="000000"/>
                <w:sz w:val="22"/>
                <w:szCs w:val="22"/>
              </w:rPr>
            </w:pPr>
            <w:r>
              <w:rPr>
                <w:color w:val="000000"/>
                <w:sz w:val="22"/>
                <w:szCs w:val="22"/>
              </w:rPr>
              <w:t>Under/Over Est</w:t>
            </w:r>
          </w:p>
        </w:tc>
        <w:tc>
          <w:tcPr>
            <w:tcW w:w="1404" w:type="dxa"/>
            <w:tcBorders>
              <w:top w:val="nil"/>
              <w:left w:val="nil"/>
              <w:bottom w:val="single" w:sz="4" w:space="0" w:color="auto"/>
              <w:right w:val="nil"/>
            </w:tcBorders>
            <w:shd w:val="clear" w:color="000000" w:fill="F2F2F2"/>
            <w:noWrap/>
            <w:vAlign w:val="center"/>
            <w:hideMark/>
          </w:tcPr>
          <w:p w14:paraId="4BC3EB2A" w14:textId="77777777" w:rsidR="00ED4163" w:rsidRPr="00ED4163" w:rsidRDefault="00ED4163" w:rsidP="00377A6F">
            <w:pPr>
              <w:jc w:val="center"/>
              <w:rPr>
                <w:color w:val="000000"/>
                <w:sz w:val="22"/>
                <w:szCs w:val="22"/>
              </w:rPr>
            </w:pPr>
            <w:r w:rsidRPr="00ED4163">
              <w:rPr>
                <w:color w:val="000000"/>
                <w:sz w:val="22"/>
                <w:szCs w:val="22"/>
              </w:rPr>
              <w:t>No</w:t>
            </w:r>
          </w:p>
        </w:tc>
        <w:tc>
          <w:tcPr>
            <w:tcW w:w="1341" w:type="dxa"/>
            <w:tcBorders>
              <w:top w:val="nil"/>
              <w:left w:val="nil"/>
              <w:bottom w:val="single" w:sz="4" w:space="0" w:color="auto"/>
              <w:right w:val="nil"/>
            </w:tcBorders>
            <w:shd w:val="clear" w:color="000000" w:fill="F2F2F2"/>
            <w:noWrap/>
            <w:vAlign w:val="center"/>
            <w:hideMark/>
          </w:tcPr>
          <w:p w14:paraId="36217B08" w14:textId="77777777" w:rsidR="00ED4163" w:rsidRPr="00ED4163" w:rsidRDefault="00ED4163" w:rsidP="00377A6F">
            <w:pPr>
              <w:jc w:val="center"/>
              <w:rPr>
                <w:color w:val="000000"/>
                <w:sz w:val="22"/>
                <w:szCs w:val="22"/>
              </w:rPr>
            </w:pPr>
            <w:r w:rsidRPr="00ED4163">
              <w:rPr>
                <w:color w:val="000000"/>
                <w:sz w:val="22"/>
                <w:szCs w:val="22"/>
              </w:rPr>
              <w:t>No</w:t>
            </w:r>
          </w:p>
        </w:tc>
        <w:tc>
          <w:tcPr>
            <w:tcW w:w="1723" w:type="dxa"/>
            <w:tcBorders>
              <w:top w:val="nil"/>
              <w:left w:val="nil"/>
              <w:bottom w:val="single" w:sz="4" w:space="0" w:color="auto"/>
              <w:right w:val="nil"/>
            </w:tcBorders>
            <w:shd w:val="clear" w:color="000000" w:fill="F2F2F2"/>
            <w:noWrap/>
            <w:vAlign w:val="center"/>
            <w:hideMark/>
          </w:tcPr>
          <w:p w14:paraId="3D79B467" w14:textId="77777777" w:rsidR="00ED4163" w:rsidRPr="00ED4163" w:rsidRDefault="00ED4163" w:rsidP="00377A6F">
            <w:pPr>
              <w:jc w:val="center"/>
              <w:rPr>
                <w:color w:val="000000"/>
                <w:sz w:val="22"/>
                <w:szCs w:val="22"/>
              </w:rPr>
            </w:pPr>
            <w:r w:rsidRPr="00ED4163">
              <w:rPr>
                <w:color w:val="000000"/>
                <w:sz w:val="22"/>
                <w:szCs w:val="22"/>
              </w:rPr>
              <w:t>Below</w:t>
            </w:r>
          </w:p>
        </w:tc>
      </w:tr>
    </w:tbl>
    <w:p w14:paraId="2C9C07A7" w14:textId="0DCFE5A0" w:rsidR="00377A6F" w:rsidRDefault="009833FF" w:rsidP="00377A6F">
      <w:pPr>
        <w:widowControl w:val="0"/>
        <w:rPr>
          <w:sz w:val="20"/>
          <w:szCs w:val="20"/>
        </w:rPr>
      </w:pPr>
      <w:r w:rsidRPr="00931A48">
        <w:rPr>
          <w:i/>
          <w:iCs/>
          <w:sz w:val="20"/>
          <w:szCs w:val="20"/>
        </w:rPr>
        <w:lastRenderedPageBreak/>
        <w:t xml:space="preserve">Note. </w:t>
      </w:r>
      <w:r w:rsidR="00B46556" w:rsidRPr="00931A48">
        <w:rPr>
          <w:iCs/>
          <w:sz w:val="20"/>
          <w:szCs w:val="20"/>
        </w:rPr>
        <w:t xml:space="preserve">The three columns in the middle show </w:t>
      </w:r>
      <w:r w:rsidR="008C0784" w:rsidRPr="00931A48">
        <w:rPr>
          <w:iCs/>
          <w:sz w:val="20"/>
          <w:szCs w:val="20"/>
        </w:rPr>
        <w:t xml:space="preserve">the </w:t>
      </w:r>
      <w:r w:rsidR="00B46556" w:rsidRPr="00931A48">
        <w:rPr>
          <w:iCs/>
          <w:sz w:val="20"/>
          <w:szCs w:val="20"/>
        </w:rPr>
        <w:t>potentially important features of the wording used to solicit</w:t>
      </w:r>
      <w:r w:rsidR="00377A6F">
        <w:rPr>
          <w:iCs/>
          <w:sz w:val="20"/>
          <w:szCs w:val="20"/>
        </w:rPr>
        <w:t xml:space="preserve"> </w:t>
      </w:r>
      <w:r w:rsidR="00B46556" w:rsidRPr="00931A48">
        <w:rPr>
          <w:iCs/>
          <w:sz w:val="20"/>
          <w:szCs w:val="20"/>
        </w:rPr>
        <w:t>prescriptions</w:t>
      </w:r>
      <w:r w:rsidR="008C0784" w:rsidRPr="00931A48">
        <w:rPr>
          <w:iCs/>
          <w:sz w:val="20"/>
          <w:szCs w:val="20"/>
        </w:rPr>
        <w:t>.</w:t>
      </w:r>
      <w:r w:rsidR="00B46556" w:rsidRPr="00931A48">
        <w:rPr>
          <w:iCs/>
          <w:sz w:val="20"/>
          <w:szCs w:val="20"/>
        </w:rPr>
        <w:t xml:space="preserve"> </w:t>
      </w:r>
      <w:r w:rsidR="008C0784" w:rsidRPr="00931A48">
        <w:rPr>
          <w:iCs/>
          <w:sz w:val="20"/>
          <w:szCs w:val="20"/>
        </w:rPr>
        <w:t>Some wordings were about pessimism/optimism and some were about under/over estimation of likelihood (see “Question Terms and Scale Anchors” column). Some referred to feelings (next column). Some included words like “best” (next column). T</w:t>
      </w:r>
      <w:r w:rsidR="00B46556" w:rsidRPr="00931A48">
        <w:rPr>
          <w:iCs/>
          <w:sz w:val="20"/>
          <w:szCs w:val="20"/>
        </w:rPr>
        <w:t>he far</w:t>
      </w:r>
      <w:r w:rsidR="001C6BC7">
        <w:rPr>
          <w:iCs/>
          <w:sz w:val="20"/>
          <w:szCs w:val="20"/>
        </w:rPr>
        <w:t>-</w:t>
      </w:r>
      <w:r w:rsidR="00B46556" w:rsidRPr="00931A48">
        <w:rPr>
          <w:iCs/>
          <w:sz w:val="20"/>
          <w:szCs w:val="20"/>
        </w:rPr>
        <w:t>right column characterizes the overall</w:t>
      </w:r>
      <w:r w:rsidR="00B37493">
        <w:rPr>
          <w:iCs/>
          <w:sz w:val="20"/>
          <w:szCs w:val="20"/>
        </w:rPr>
        <w:t>, significant</w:t>
      </w:r>
      <w:r w:rsidR="00B46556" w:rsidRPr="00931A48">
        <w:rPr>
          <w:iCs/>
          <w:sz w:val="20"/>
          <w:szCs w:val="20"/>
        </w:rPr>
        <w:t xml:space="preserve"> finding</w:t>
      </w:r>
      <w:r w:rsidR="00B37493">
        <w:rPr>
          <w:iCs/>
          <w:sz w:val="20"/>
          <w:szCs w:val="20"/>
        </w:rPr>
        <w:t>s</w:t>
      </w:r>
      <w:r w:rsidR="00B46556" w:rsidRPr="00931A48">
        <w:rPr>
          <w:iCs/>
          <w:sz w:val="20"/>
          <w:szCs w:val="20"/>
        </w:rPr>
        <w:t xml:space="preserve"> for each wording</w:t>
      </w:r>
      <w:r w:rsidR="000F43BC" w:rsidRPr="00931A48">
        <w:rPr>
          <w:iCs/>
          <w:sz w:val="20"/>
          <w:szCs w:val="20"/>
        </w:rPr>
        <w:t>/</w:t>
      </w:r>
      <w:r w:rsidR="00B46556" w:rsidRPr="00931A48">
        <w:rPr>
          <w:iCs/>
          <w:sz w:val="20"/>
          <w:szCs w:val="20"/>
        </w:rPr>
        <w:t xml:space="preserve"> condition. “Above”</w:t>
      </w:r>
      <w:proofErr w:type="gramStart"/>
      <w:r w:rsidR="00B37493">
        <w:rPr>
          <w:iCs/>
          <w:sz w:val="20"/>
          <w:szCs w:val="20"/>
        </w:rPr>
        <w:t>/</w:t>
      </w:r>
      <w:r w:rsidR="001C6BC7">
        <w:rPr>
          <w:iCs/>
          <w:sz w:val="20"/>
          <w:szCs w:val="20"/>
        </w:rPr>
        <w:t>“</w:t>
      </w:r>
      <w:proofErr w:type="gramEnd"/>
      <w:r w:rsidR="001C6BC7">
        <w:rPr>
          <w:iCs/>
          <w:sz w:val="20"/>
          <w:szCs w:val="20"/>
        </w:rPr>
        <w:t>b</w:t>
      </w:r>
      <w:r w:rsidR="00B37493">
        <w:rPr>
          <w:iCs/>
          <w:sz w:val="20"/>
          <w:szCs w:val="20"/>
        </w:rPr>
        <w:t>elow”</w:t>
      </w:r>
      <w:r w:rsidR="00B46556" w:rsidRPr="00931A48">
        <w:rPr>
          <w:iCs/>
          <w:sz w:val="20"/>
          <w:szCs w:val="20"/>
        </w:rPr>
        <w:t xml:space="preserve"> means the responses tended to fall significantly above</w:t>
      </w:r>
      <w:r w:rsidR="00B37493">
        <w:rPr>
          <w:iCs/>
          <w:sz w:val="20"/>
          <w:szCs w:val="20"/>
        </w:rPr>
        <w:t>/below</w:t>
      </w:r>
      <w:r w:rsidR="00B46556" w:rsidRPr="00931A48">
        <w:rPr>
          <w:iCs/>
          <w:sz w:val="20"/>
          <w:szCs w:val="20"/>
        </w:rPr>
        <w:t xml:space="preserve"> the relevant scale’s midpoint. For example, in Study 1, this means people prescribe</w:t>
      </w:r>
      <w:r w:rsidR="00CF32EB">
        <w:rPr>
          <w:iCs/>
          <w:sz w:val="20"/>
          <w:szCs w:val="20"/>
        </w:rPr>
        <w:t>d</w:t>
      </w:r>
      <w:r w:rsidR="00B46556" w:rsidRPr="00931A48">
        <w:rPr>
          <w:iCs/>
          <w:sz w:val="20"/>
          <w:szCs w:val="20"/>
        </w:rPr>
        <w:t xml:space="preserve"> optimism</w:t>
      </w:r>
      <w:r w:rsidR="000F43BC" w:rsidRPr="00931A48">
        <w:rPr>
          <w:iCs/>
          <w:sz w:val="20"/>
          <w:szCs w:val="20"/>
        </w:rPr>
        <w:t xml:space="preserve"> in the original wording condition yet underestimations of likelihoods in the </w:t>
      </w:r>
      <w:r w:rsidR="00EA2A9B">
        <w:rPr>
          <w:iCs/>
          <w:sz w:val="20"/>
          <w:szCs w:val="20"/>
        </w:rPr>
        <w:t>estimation-</w:t>
      </w:r>
      <w:r w:rsidR="000F43BC" w:rsidRPr="00931A48">
        <w:rPr>
          <w:iCs/>
          <w:sz w:val="20"/>
          <w:szCs w:val="20"/>
        </w:rPr>
        <w:t>wording condition.</w:t>
      </w:r>
      <w:r w:rsidR="007556C9" w:rsidRPr="00931A48">
        <w:rPr>
          <w:iCs/>
          <w:sz w:val="20"/>
          <w:szCs w:val="20"/>
        </w:rPr>
        <w:t xml:space="preserve"> In Studies 2 and 3 </w:t>
      </w:r>
      <w:r w:rsidR="00183138" w:rsidRPr="00B37493">
        <w:rPr>
          <w:sz w:val="20"/>
          <w:szCs w:val="20"/>
        </w:rPr>
        <w:t xml:space="preserve">we varied properties of the prescription measures to disambiguate which </w:t>
      </w:r>
      <w:r w:rsidR="00C36039" w:rsidRPr="00B37493">
        <w:rPr>
          <w:sz w:val="20"/>
          <w:szCs w:val="20"/>
        </w:rPr>
        <w:t xml:space="preserve">properties account for the empirical </w:t>
      </w:r>
      <w:r w:rsidR="00183138" w:rsidRPr="00B37493">
        <w:rPr>
          <w:sz w:val="20"/>
          <w:szCs w:val="20"/>
        </w:rPr>
        <w:t>differen</w:t>
      </w:r>
      <w:r w:rsidR="007556C9" w:rsidRPr="00B37493">
        <w:rPr>
          <w:sz w:val="20"/>
          <w:szCs w:val="20"/>
        </w:rPr>
        <w:t>ce in Study 1.</w:t>
      </w:r>
      <w:r w:rsidR="00C36039" w:rsidRPr="00B37493">
        <w:rPr>
          <w:sz w:val="20"/>
          <w:szCs w:val="20"/>
        </w:rPr>
        <w:t xml:space="preserve"> </w:t>
      </w:r>
    </w:p>
    <w:p w14:paraId="330D737D" w14:textId="0E1B847A" w:rsidR="000379DA" w:rsidRDefault="009A6FEA" w:rsidP="00CF32EB">
      <w:pPr>
        <w:spacing w:line="480" w:lineRule="auto"/>
        <w:jc w:val="center"/>
        <w:rPr>
          <w:b/>
          <w:bCs/>
        </w:rPr>
      </w:pPr>
      <w:r w:rsidRPr="009A6FEA">
        <w:rPr>
          <w:b/>
          <w:bCs/>
        </w:rPr>
        <w:t>Study 1</w:t>
      </w:r>
    </w:p>
    <w:p w14:paraId="1017625A" w14:textId="0DDD014C" w:rsidR="005F614D" w:rsidRPr="00377A6F" w:rsidRDefault="005F614D" w:rsidP="003C650C">
      <w:pPr>
        <w:spacing w:line="480" w:lineRule="auto"/>
        <w:rPr>
          <w:bCs/>
        </w:rPr>
      </w:pPr>
      <w:r w:rsidRPr="00AB05D6">
        <w:rPr>
          <w:bCs/>
        </w:rPr>
        <w:tab/>
      </w:r>
      <w:r w:rsidR="00EC7EF9" w:rsidRPr="00F22194">
        <w:rPr>
          <w:color w:val="000000" w:themeColor="text1"/>
        </w:rPr>
        <w:t>Study 1</w:t>
      </w:r>
      <w:r w:rsidR="00EC7EF9">
        <w:rPr>
          <w:color w:val="000000" w:themeColor="text1"/>
        </w:rPr>
        <w:t xml:space="preserve"> tested two types</w:t>
      </w:r>
      <w:r w:rsidR="003C650C">
        <w:rPr>
          <w:color w:val="000000" w:themeColor="text1"/>
        </w:rPr>
        <w:t xml:space="preserve"> of wording </w:t>
      </w:r>
      <w:r w:rsidR="00EC7EF9">
        <w:rPr>
          <w:color w:val="000000" w:themeColor="text1"/>
        </w:rPr>
        <w:t xml:space="preserve">for prescription measures—the original Armor et al. (2008) wording and a new wording that </w:t>
      </w:r>
      <w:r w:rsidR="005E0FD3">
        <w:rPr>
          <w:color w:val="000000" w:themeColor="text1"/>
        </w:rPr>
        <w:t xml:space="preserve">we will </w:t>
      </w:r>
      <w:r w:rsidR="00EC7EF9">
        <w:rPr>
          <w:color w:val="000000" w:themeColor="text1"/>
        </w:rPr>
        <w:t xml:space="preserve">call </w:t>
      </w:r>
      <w:r w:rsidR="00EC7EF9" w:rsidRPr="00D80DF6">
        <w:rPr>
          <w:i/>
          <w:iCs/>
          <w:color w:val="000000" w:themeColor="text1"/>
        </w:rPr>
        <w:t>estimation wording</w:t>
      </w:r>
      <w:r w:rsidR="00EC7EF9">
        <w:rPr>
          <w:color w:val="000000" w:themeColor="text1"/>
        </w:rPr>
        <w:t xml:space="preserve">. The </w:t>
      </w:r>
      <w:r w:rsidR="003C650C">
        <w:rPr>
          <w:color w:val="000000" w:themeColor="text1"/>
        </w:rPr>
        <w:t xml:space="preserve">estimation wording </w:t>
      </w:r>
      <w:r w:rsidR="000B359E">
        <w:rPr>
          <w:color w:val="000000" w:themeColor="text1"/>
        </w:rPr>
        <w:t xml:space="preserve">was </w:t>
      </w:r>
      <w:r w:rsidR="003C650C">
        <w:rPr>
          <w:color w:val="000000" w:themeColor="text1"/>
        </w:rPr>
        <w:t xml:space="preserve">more narrowly focused on prescriptions for likelihood estimations and excluded some </w:t>
      </w:r>
      <w:r w:rsidR="00EC7EF9" w:rsidRPr="00F22194">
        <w:rPr>
          <w:color w:val="000000" w:themeColor="text1"/>
        </w:rPr>
        <w:t xml:space="preserve">potentially biasing features </w:t>
      </w:r>
      <w:r w:rsidR="003C650C">
        <w:rPr>
          <w:color w:val="000000" w:themeColor="text1"/>
        </w:rPr>
        <w:t xml:space="preserve">of the original wording. </w:t>
      </w:r>
      <w:r w:rsidR="003C650C">
        <w:rPr>
          <w:bCs/>
        </w:rPr>
        <w:t>We predicted that results for the original wording would replicate (i.e., favoring prescriptions of optimism), but the estimat</w:t>
      </w:r>
      <w:r w:rsidR="00AF346A">
        <w:rPr>
          <w:bCs/>
        </w:rPr>
        <w:t xml:space="preserve">ion </w:t>
      </w:r>
      <w:r w:rsidR="003C650C">
        <w:rPr>
          <w:bCs/>
        </w:rPr>
        <w:t xml:space="preserve">wording </w:t>
      </w:r>
      <w:r w:rsidR="000379DA">
        <w:rPr>
          <w:bCs/>
        </w:rPr>
        <w:t xml:space="preserve">would </w:t>
      </w:r>
      <w:r w:rsidR="003C650C">
        <w:rPr>
          <w:bCs/>
        </w:rPr>
        <w:t xml:space="preserve">reveal </w:t>
      </w:r>
      <w:r w:rsidR="000379DA">
        <w:rPr>
          <w:bCs/>
        </w:rPr>
        <w:t xml:space="preserve">less optimistic prescriptions. </w:t>
      </w:r>
    </w:p>
    <w:p w14:paraId="37892F49" w14:textId="7E83ED88" w:rsidR="00F60C68" w:rsidRDefault="00F60C68" w:rsidP="002936DE">
      <w:pPr>
        <w:spacing w:line="480" w:lineRule="auto"/>
        <w:rPr>
          <w:b/>
          <w:bCs/>
        </w:rPr>
      </w:pPr>
      <w:r w:rsidRPr="00F60C68">
        <w:rPr>
          <w:b/>
          <w:bCs/>
        </w:rPr>
        <w:t>Method</w:t>
      </w:r>
    </w:p>
    <w:p w14:paraId="0BBC835F" w14:textId="27A1EBD0" w:rsidR="00377A6F" w:rsidRDefault="0024154A" w:rsidP="00377A6F">
      <w:pPr>
        <w:spacing w:line="480" w:lineRule="auto"/>
        <w:ind w:firstLine="720"/>
        <w:rPr>
          <w:color w:val="000000" w:themeColor="text1"/>
        </w:rPr>
      </w:pPr>
      <w:r w:rsidRPr="00F22194">
        <w:rPr>
          <w:color w:val="000000" w:themeColor="text1"/>
        </w:rPr>
        <w:t>Our study was not intended to be a direct replication of Armor et al. (2008), given previous direct replications (i.e.</w:t>
      </w:r>
      <w:r w:rsidR="008444BC">
        <w:rPr>
          <w:color w:val="000000" w:themeColor="text1"/>
        </w:rPr>
        <w:t>,</w:t>
      </w:r>
      <w:r w:rsidRPr="00F22194">
        <w:rPr>
          <w:color w:val="000000" w:themeColor="text1"/>
        </w:rPr>
        <w:t xml:space="preserve"> </w:t>
      </w:r>
      <w:r w:rsidRPr="00F22194">
        <w:rPr>
          <w:iCs/>
          <w:color w:val="000000" w:themeColor="text1"/>
        </w:rPr>
        <w:t>Open Science Collaboration, 2015</w:t>
      </w:r>
      <w:r w:rsidRPr="00F22194">
        <w:rPr>
          <w:color w:val="000000" w:themeColor="text1"/>
        </w:rPr>
        <w:t xml:space="preserve">; </w:t>
      </w:r>
      <w:proofErr w:type="spellStart"/>
      <w:r w:rsidRPr="00F22194">
        <w:rPr>
          <w:color w:val="000000" w:themeColor="text1"/>
        </w:rPr>
        <w:t>Tenney</w:t>
      </w:r>
      <w:proofErr w:type="spellEnd"/>
      <w:r w:rsidRPr="00F22194">
        <w:rPr>
          <w:color w:val="000000" w:themeColor="text1"/>
        </w:rPr>
        <w:t xml:space="preserve"> et al., 2015). </w:t>
      </w:r>
      <w:r w:rsidR="005D7607">
        <w:rPr>
          <w:color w:val="000000" w:themeColor="text1"/>
        </w:rPr>
        <w:t>W</w:t>
      </w:r>
      <w:r w:rsidRPr="00F22194">
        <w:rPr>
          <w:color w:val="000000" w:themeColor="text1"/>
        </w:rPr>
        <w:t>e made a series of changes to the</w:t>
      </w:r>
      <w:r w:rsidR="002F770D">
        <w:rPr>
          <w:color w:val="000000" w:themeColor="text1"/>
        </w:rPr>
        <w:t>ir</w:t>
      </w:r>
      <w:r w:rsidRPr="00F22194">
        <w:rPr>
          <w:color w:val="000000" w:themeColor="text1"/>
        </w:rPr>
        <w:t xml:space="preserve"> original design, primarily to reduce participant fatigue. See Supplemental Online Materials</w:t>
      </w:r>
      <w:r w:rsidR="00F868D2">
        <w:rPr>
          <w:color w:val="000000" w:themeColor="text1"/>
        </w:rPr>
        <w:t>-Reviewed</w:t>
      </w:r>
      <w:r w:rsidRPr="00F22194">
        <w:rPr>
          <w:color w:val="000000" w:themeColor="text1"/>
        </w:rPr>
        <w:t xml:space="preserve"> (SOM-R) for a full overview of these changes. </w:t>
      </w:r>
    </w:p>
    <w:p w14:paraId="7D2BE132" w14:textId="37E5F388" w:rsidR="0048255D" w:rsidRPr="00377A6F" w:rsidRDefault="00F949F0" w:rsidP="00377A6F">
      <w:pPr>
        <w:spacing w:line="480" w:lineRule="auto"/>
        <w:rPr>
          <w:color w:val="000000" w:themeColor="text1"/>
          <w:highlight w:val="cyan"/>
        </w:rPr>
      </w:pPr>
      <w:r w:rsidRPr="0048255D">
        <w:rPr>
          <w:b/>
          <w:bCs/>
          <w:i/>
          <w:iCs/>
        </w:rPr>
        <w:t xml:space="preserve">Design, </w:t>
      </w:r>
      <w:r w:rsidR="0048255D">
        <w:rPr>
          <w:b/>
          <w:bCs/>
          <w:i/>
          <w:iCs/>
        </w:rPr>
        <w:t>P</w:t>
      </w:r>
      <w:r w:rsidRPr="0048255D">
        <w:rPr>
          <w:b/>
          <w:bCs/>
          <w:i/>
          <w:iCs/>
        </w:rPr>
        <w:t xml:space="preserve">articipants, and </w:t>
      </w:r>
      <w:r w:rsidR="0048255D">
        <w:rPr>
          <w:b/>
          <w:bCs/>
          <w:i/>
          <w:iCs/>
        </w:rPr>
        <w:t>S</w:t>
      </w:r>
      <w:r w:rsidRPr="0048255D">
        <w:rPr>
          <w:b/>
          <w:bCs/>
          <w:i/>
          <w:iCs/>
        </w:rPr>
        <w:t xml:space="preserve">tatistical </w:t>
      </w:r>
      <w:r w:rsidR="0048255D">
        <w:rPr>
          <w:b/>
          <w:bCs/>
          <w:i/>
          <w:iCs/>
        </w:rPr>
        <w:t>P</w:t>
      </w:r>
      <w:r w:rsidRPr="0048255D">
        <w:rPr>
          <w:b/>
          <w:bCs/>
          <w:i/>
          <w:iCs/>
        </w:rPr>
        <w:t>owe</w:t>
      </w:r>
      <w:r w:rsidR="0048255D">
        <w:rPr>
          <w:b/>
          <w:bCs/>
          <w:i/>
          <w:iCs/>
        </w:rPr>
        <w:t>r</w:t>
      </w:r>
      <w:r w:rsidR="0048255D">
        <w:rPr>
          <w:b/>
          <w:bCs/>
        </w:rPr>
        <w:t xml:space="preserve"> </w:t>
      </w:r>
    </w:p>
    <w:p w14:paraId="06F108F3" w14:textId="69B0261D" w:rsidR="009A6FEA" w:rsidRPr="004F0117" w:rsidRDefault="005A6CCA" w:rsidP="002936DE">
      <w:pPr>
        <w:spacing w:line="480" w:lineRule="auto"/>
        <w:ind w:firstLine="720"/>
      </w:pPr>
      <w:r>
        <w:t>Aside from a counterbalancing factor, t</w:t>
      </w:r>
      <w:r w:rsidR="00F949F0">
        <w:t>he design was a 2(Wording: original/</w:t>
      </w:r>
      <w:r w:rsidR="005A72E8">
        <w:t>estimation</w:t>
      </w:r>
      <w:r w:rsidR="00F949F0">
        <w:t>) x 3(</w:t>
      </w:r>
      <w:r w:rsidR="00FF7E2B">
        <w:t xml:space="preserve">Scenario </w:t>
      </w:r>
      <w:r w:rsidR="00F949F0">
        <w:t>Version) mixed design</w:t>
      </w:r>
      <w:r>
        <w:t>, with w</w:t>
      </w:r>
      <w:r w:rsidR="00F949F0">
        <w:t>ording</w:t>
      </w:r>
      <w:r>
        <w:t xml:space="preserve"> as the </w:t>
      </w:r>
      <w:r w:rsidR="00F949F0">
        <w:t xml:space="preserve">between-subjects </w:t>
      </w:r>
      <w:r>
        <w:t>factor</w:t>
      </w:r>
      <w:r w:rsidR="00F949F0">
        <w:t>. We preregistered a sample size of 324 participants</w:t>
      </w:r>
      <w:r w:rsidR="002102AD">
        <w:t xml:space="preserve"> </w:t>
      </w:r>
      <w:r w:rsidR="00D80DF6">
        <w:t xml:space="preserve">on the Open Science Framework </w:t>
      </w:r>
      <w:r w:rsidR="002102AD">
        <w:t xml:space="preserve">(link: </w:t>
      </w:r>
      <w:r w:rsidR="005C0D0F" w:rsidRPr="005C0D0F">
        <w:t>osf.io/r2muz</w:t>
      </w:r>
      <w:r w:rsidR="002102AD">
        <w:t>)</w:t>
      </w:r>
      <w:r w:rsidR="00F949F0">
        <w:t xml:space="preserve">, which </w:t>
      </w:r>
      <w:r w:rsidR="0048255D">
        <w:t xml:space="preserve">far </w:t>
      </w:r>
      <w:r w:rsidR="00F949F0">
        <w:t xml:space="preserve">exceeded 95% power to detect a medium-sized </w:t>
      </w:r>
      <w:r w:rsidR="005175A2">
        <w:t xml:space="preserve">difference </w:t>
      </w:r>
      <w:r w:rsidR="00BB7E78">
        <w:t xml:space="preserve">in </w:t>
      </w:r>
      <w:r w:rsidR="005175A2">
        <w:t>prescriptions</w:t>
      </w:r>
      <w:r w:rsidR="00BB7E78">
        <w:t xml:space="preserve"> between the two wording conditions</w:t>
      </w:r>
      <w:r w:rsidR="00F949F0">
        <w:t>.</w:t>
      </w:r>
      <w:r w:rsidR="0048255D">
        <w:t xml:space="preserve"> </w:t>
      </w:r>
      <w:r w:rsidR="0024154A" w:rsidRPr="0048255D">
        <w:t xml:space="preserve">The </w:t>
      </w:r>
      <w:r w:rsidR="005A72E8" w:rsidRPr="00D80DF6">
        <w:t>target sample size</w:t>
      </w:r>
      <w:r w:rsidR="0024154A" w:rsidRPr="005A72E8">
        <w:t xml:space="preserve"> </w:t>
      </w:r>
      <w:r w:rsidR="0024154A" w:rsidRPr="0048255D">
        <w:t xml:space="preserve">was based on the minimum sample size needed for another study in the same data collection session as this study. </w:t>
      </w:r>
      <w:r w:rsidR="0048255D">
        <w:lastRenderedPageBreak/>
        <w:t xml:space="preserve">After completion of all posted sessions, our final sample size was 331 University of </w:t>
      </w:r>
      <w:r w:rsidR="00FC2422">
        <w:t>Iowa</w:t>
      </w:r>
      <w:r w:rsidR="0048255D">
        <w:t xml:space="preserve"> undergraduates (230 women, 100 men, 1 unreported, </w:t>
      </w:r>
      <w:r w:rsidR="0048255D" w:rsidRPr="0048255D">
        <w:rPr>
          <w:i/>
          <w:iCs/>
        </w:rPr>
        <w:t>M</w:t>
      </w:r>
      <w:r w:rsidR="0048255D" w:rsidRPr="0048255D">
        <w:rPr>
          <w:i/>
          <w:iCs/>
          <w:vertAlign w:val="subscript"/>
        </w:rPr>
        <w:t>age</w:t>
      </w:r>
      <w:r w:rsidR="0048255D">
        <w:t xml:space="preserve"> = 18.75, </w:t>
      </w:r>
      <w:r w:rsidR="0048255D" w:rsidRPr="0048255D">
        <w:rPr>
          <w:i/>
          <w:iCs/>
        </w:rPr>
        <w:t>SD</w:t>
      </w:r>
      <w:r w:rsidR="0048255D">
        <w:t xml:space="preserve"> = 0.96).</w:t>
      </w:r>
    </w:p>
    <w:p w14:paraId="2C0F3275" w14:textId="14CC0A2F" w:rsidR="00346F73" w:rsidRPr="001C1081" w:rsidRDefault="00346F73" w:rsidP="002936DE">
      <w:pPr>
        <w:spacing w:line="480" w:lineRule="auto"/>
        <w:rPr>
          <w:b/>
          <w:bCs/>
          <w:i/>
          <w:iCs/>
        </w:rPr>
      </w:pPr>
      <w:r w:rsidRPr="001C1081">
        <w:rPr>
          <w:b/>
          <w:bCs/>
          <w:i/>
          <w:iCs/>
        </w:rPr>
        <w:t xml:space="preserve">Scenarios </w:t>
      </w:r>
      <w:r w:rsidR="00377A6F">
        <w:rPr>
          <w:b/>
          <w:bCs/>
          <w:i/>
          <w:iCs/>
        </w:rPr>
        <w:t>and Version Descriptions</w:t>
      </w:r>
    </w:p>
    <w:p w14:paraId="6B58B2C2" w14:textId="0755EFD6" w:rsidR="002B4894" w:rsidRPr="00FE605C" w:rsidRDefault="00346F73" w:rsidP="002936DE">
      <w:pPr>
        <w:spacing w:line="480" w:lineRule="auto"/>
      </w:pPr>
      <w:r>
        <w:tab/>
      </w:r>
      <w:r w:rsidR="004E661A">
        <w:t xml:space="preserve">We used </w:t>
      </w:r>
      <w:r w:rsidR="002B4894">
        <w:t xml:space="preserve">3 </w:t>
      </w:r>
      <w:r w:rsidR="004E661A">
        <w:t>scenarios from Armor et al. (2008)</w:t>
      </w:r>
      <w:r w:rsidR="002B4894">
        <w:t>, which each described a protagonist facing an event with an uncertain outcome (winning an award, having a successful surgery, experiencing a business success). Whereas Armor et al. created 8 version</w:t>
      </w:r>
      <w:r w:rsidR="00AD55AA">
        <w:t>s for e</w:t>
      </w:r>
      <w:r w:rsidR="002B4894">
        <w:t>ach scenario (to test moderators), we used only 3 version</w:t>
      </w:r>
      <w:r w:rsidR="00F868D2">
        <w:t>s</w:t>
      </w:r>
      <w:r w:rsidR="002B4894">
        <w:t xml:space="preserve"> of each scenario, </w:t>
      </w:r>
      <w:r w:rsidR="00F868D2">
        <w:t xml:space="preserve">to be </w:t>
      </w:r>
      <w:r w:rsidR="002B4894">
        <w:t>described shortly.</w:t>
      </w:r>
      <w:r w:rsidR="00AD55AA">
        <w:t xml:space="preserve"> </w:t>
      </w:r>
      <w:r w:rsidR="002B4894">
        <w:t>Every participant saw each of the three scenarios</w:t>
      </w:r>
      <w:r w:rsidR="00AD55AA">
        <w:t xml:space="preserve"> (for a total of </w:t>
      </w:r>
      <w:r w:rsidR="00F868D2">
        <w:t xml:space="preserve">three) </w:t>
      </w:r>
      <w:r w:rsidR="002B4894">
        <w:t xml:space="preserve">but we counterbalanced which </w:t>
      </w:r>
      <w:r w:rsidR="00AD55AA">
        <w:t xml:space="preserve">of the </w:t>
      </w:r>
      <w:r w:rsidR="00F868D2">
        <w:t xml:space="preserve">three </w:t>
      </w:r>
      <w:r w:rsidR="002B4894">
        <w:t>version</w:t>
      </w:r>
      <w:r w:rsidR="00AD55AA">
        <w:t xml:space="preserve"> types </w:t>
      </w:r>
      <w:r w:rsidR="002B4894">
        <w:t xml:space="preserve">went with each scenario. </w:t>
      </w:r>
      <w:r w:rsidR="002B4894" w:rsidRPr="004F0117">
        <w:t xml:space="preserve">See </w:t>
      </w:r>
      <w:r w:rsidR="00B612B6" w:rsidRPr="004F0117">
        <w:t xml:space="preserve">Supplemental Online Material- Reviewed (SOM-R) </w:t>
      </w:r>
      <w:r w:rsidR="002B4894" w:rsidRPr="004F0117">
        <w:t>for a full overview of each of the counterbalancing conditions.</w:t>
      </w:r>
      <w:r w:rsidR="002B4894">
        <w:t xml:space="preserve"> </w:t>
      </w:r>
    </w:p>
    <w:p w14:paraId="19E78508" w14:textId="5E060E3E" w:rsidR="00AA749D" w:rsidRDefault="00BF0AE9" w:rsidP="002936DE">
      <w:pPr>
        <w:spacing w:line="480" w:lineRule="auto"/>
        <w:ind w:firstLine="720"/>
        <w:rPr>
          <w:bCs/>
          <w:iCs/>
        </w:rPr>
      </w:pPr>
      <w:r>
        <w:t xml:space="preserve">Across all </w:t>
      </w:r>
      <w:r w:rsidR="00F868D2">
        <w:t xml:space="preserve">three </w:t>
      </w:r>
      <w:r>
        <w:t>types of versions</w:t>
      </w:r>
      <w:r w:rsidR="004C5973">
        <w:t xml:space="preserve"> of a scenario</w:t>
      </w:r>
      <w:r>
        <w:t>, the protagonist had l</w:t>
      </w:r>
      <w:r w:rsidR="00B21CCB">
        <w:t xml:space="preserve">ittle or no future </w:t>
      </w:r>
      <w:r>
        <w:t xml:space="preserve">control over how the event would turn out. The versions varied in whether a decision relevant to the event had already </w:t>
      </w:r>
      <w:r w:rsidRPr="00880FCD">
        <w:t>been made (commitment) and who did/would make that decision (agency)</w:t>
      </w:r>
      <w:r w:rsidR="004C5973" w:rsidRPr="00F62483">
        <w:t xml:space="preserve">. For example, </w:t>
      </w:r>
      <w:r w:rsidR="00B21CCB" w:rsidRPr="00FA4D27">
        <w:t xml:space="preserve">consider the </w:t>
      </w:r>
      <w:r w:rsidR="005A72E8">
        <w:t>award scenario.</w:t>
      </w:r>
      <w:r w:rsidR="00B21CCB" w:rsidRPr="00880FCD">
        <w:rPr>
          <w:iCs/>
        </w:rPr>
        <w:t xml:space="preserve"> In </w:t>
      </w:r>
      <w:r w:rsidR="005A72E8">
        <w:rPr>
          <w:iCs/>
        </w:rPr>
        <w:t xml:space="preserve">this scenario, </w:t>
      </w:r>
      <w:r w:rsidR="00B21CCB" w:rsidRPr="00880FCD">
        <w:rPr>
          <w:iCs/>
        </w:rPr>
        <w:t xml:space="preserve">the protagonist, Lisa, was notified that her paper, which could not be modified, might win </w:t>
      </w:r>
      <w:r w:rsidR="00AA749D" w:rsidRPr="00FA4D27">
        <w:rPr>
          <w:iCs/>
        </w:rPr>
        <w:t xml:space="preserve">an award if </w:t>
      </w:r>
      <w:r w:rsidR="00B21CCB" w:rsidRPr="00FA4D27">
        <w:rPr>
          <w:iCs/>
        </w:rPr>
        <w:t xml:space="preserve">entered into a competition. </w:t>
      </w:r>
      <w:r w:rsidR="005A72E8">
        <w:rPr>
          <w:iCs/>
        </w:rPr>
        <w:t xml:space="preserve">In the </w:t>
      </w:r>
      <w:r w:rsidR="005A72E8" w:rsidRPr="00931A48">
        <w:rPr>
          <w:i/>
          <w:iCs/>
        </w:rPr>
        <w:t>Internal Agency/Pre-commitment</w:t>
      </w:r>
      <w:r w:rsidR="005A72E8" w:rsidRPr="00880FCD">
        <w:rPr>
          <w:iCs/>
        </w:rPr>
        <w:t xml:space="preserve"> version of </w:t>
      </w:r>
      <w:r w:rsidR="005A72E8">
        <w:rPr>
          <w:iCs/>
        </w:rPr>
        <w:t>this</w:t>
      </w:r>
      <w:r w:rsidR="005A72E8" w:rsidRPr="00880FCD">
        <w:rPr>
          <w:iCs/>
        </w:rPr>
        <w:t xml:space="preserve"> scenario</w:t>
      </w:r>
      <w:r w:rsidR="00B21CCB" w:rsidRPr="00FA4D27">
        <w:rPr>
          <w:iCs/>
        </w:rPr>
        <w:t>, passages indica</w:t>
      </w:r>
      <w:r w:rsidR="00AA749D" w:rsidRPr="00FA4D27">
        <w:rPr>
          <w:iCs/>
        </w:rPr>
        <w:t xml:space="preserve">ted that the decision to apply for the </w:t>
      </w:r>
      <w:r w:rsidR="00F868D2">
        <w:rPr>
          <w:iCs/>
        </w:rPr>
        <w:t>competition</w:t>
      </w:r>
      <w:r w:rsidR="00F868D2" w:rsidRPr="00FA4D27">
        <w:rPr>
          <w:iCs/>
        </w:rPr>
        <w:t xml:space="preserve"> </w:t>
      </w:r>
      <w:r w:rsidR="00AA749D" w:rsidRPr="00FA4D27">
        <w:rPr>
          <w:iCs/>
        </w:rPr>
        <w:t xml:space="preserve">is hers and she </w:t>
      </w:r>
      <w:r w:rsidR="00F868D2">
        <w:rPr>
          <w:iCs/>
        </w:rPr>
        <w:t>has not</w:t>
      </w:r>
      <w:r w:rsidR="00F868D2" w:rsidRPr="00FA4D27">
        <w:rPr>
          <w:iCs/>
        </w:rPr>
        <w:t xml:space="preserve"> </w:t>
      </w:r>
      <w:r w:rsidR="00AA749D" w:rsidRPr="00FA4D27">
        <w:rPr>
          <w:iCs/>
        </w:rPr>
        <w:t xml:space="preserve">yet decided.  </w:t>
      </w:r>
      <w:r w:rsidR="004C5973" w:rsidRPr="00FA4D27">
        <w:rPr>
          <w:color w:val="000000"/>
        </w:rPr>
        <w:t xml:space="preserve">In the </w:t>
      </w:r>
      <w:r w:rsidR="00346F73" w:rsidRPr="00931A48">
        <w:rPr>
          <w:i/>
          <w:iCs/>
        </w:rPr>
        <w:t>Internal Agency/Post-commitment</w:t>
      </w:r>
      <w:r w:rsidR="00346F73" w:rsidRPr="00880FCD">
        <w:t xml:space="preserve"> version, </w:t>
      </w:r>
      <w:r w:rsidR="004C5973" w:rsidRPr="00F62483">
        <w:t xml:space="preserve">the </w:t>
      </w:r>
      <w:r w:rsidR="00AA749D" w:rsidRPr="00FA4D27">
        <w:rPr>
          <w:iCs/>
        </w:rPr>
        <w:t xml:space="preserve">decision was hers and she already applied. In the </w:t>
      </w:r>
      <w:r w:rsidR="00346F73" w:rsidRPr="00931A48">
        <w:rPr>
          <w:i/>
          <w:iCs/>
        </w:rPr>
        <w:t>External Agency/Post-commitment</w:t>
      </w:r>
      <w:r w:rsidR="00AA749D" w:rsidRPr="00880FCD">
        <w:rPr>
          <w:iCs/>
        </w:rPr>
        <w:t xml:space="preserve"> version, t</w:t>
      </w:r>
      <w:r w:rsidR="00AA749D">
        <w:rPr>
          <w:bCs/>
          <w:iCs/>
        </w:rPr>
        <w:t>he decision was her advisor’s</w:t>
      </w:r>
      <w:r w:rsidR="00880FCD">
        <w:rPr>
          <w:bCs/>
          <w:iCs/>
        </w:rPr>
        <w:t>,</w:t>
      </w:r>
      <w:r w:rsidR="00AA749D">
        <w:rPr>
          <w:bCs/>
          <w:iCs/>
        </w:rPr>
        <w:t xml:space="preserve"> who already submitted Lisa’s paper for the award. </w:t>
      </w:r>
    </w:p>
    <w:p w14:paraId="57AE2E9F" w14:textId="1A3F06EF" w:rsidR="00F60C68" w:rsidRPr="001C1081" w:rsidRDefault="005D3A79" w:rsidP="00F549A7">
      <w:pPr>
        <w:widowControl w:val="0"/>
        <w:spacing w:line="480" w:lineRule="auto"/>
        <w:rPr>
          <w:b/>
          <w:bCs/>
          <w:i/>
          <w:iCs/>
        </w:rPr>
      </w:pPr>
      <w:r>
        <w:rPr>
          <w:b/>
          <w:bCs/>
          <w:i/>
          <w:iCs/>
        </w:rPr>
        <w:t>Prescription Measures</w:t>
      </w:r>
    </w:p>
    <w:p w14:paraId="462D128F" w14:textId="56FC0DA0" w:rsidR="00F63F3A" w:rsidRDefault="00346F73" w:rsidP="00F549A7">
      <w:pPr>
        <w:widowControl w:val="0"/>
        <w:spacing w:line="480" w:lineRule="auto"/>
      </w:pPr>
      <w:r>
        <w:rPr>
          <w:i/>
          <w:iCs/>
        </w:rPr>
        <w:tab/>
      </w:r>
      <w:r w:rsidR="00997588">
        <w:t xml:space="preserve">Participants were randomly assigned to </w:t>
      </w:r>
      <w:r w:rsidR="000A4F35">
        <w:t xml:space="preserve">one of the two wording conditions. Half </w:t>
      </w:r>
      <w:r w:rsidR="00F868D2">
        <w:t xml:space="preserve">of </w:t>
      </w:r>
      <w:r w:rsidR="000A4F35">
        <w:t xml:space="preserve">the participants always saw prescription questions that used the original wording from </w:t>
      </w:r>
      <w:r w:rsidR="00CF546D">
        <w:t xml:space="preserve">Armor et al. </w:t>
      </w:r>
      <w:r w:rsidR="00CF546D">
        <w:lastRenderedPageBreak/>
        <w:t>(2008)</w:t>
      </w:r>
      <w:r w:rsidR="000A4F35">
        <w:t xml:space="preserve">: </w:t>
      </w:r>
    </w:p>
    <w:p w14:paraId="64A069A6" w14:textId="3AEBC08A" w:rsidR="00CF546D" w:rsidRPr="00F63F3A" w:rsidRDefault="00F63F3A" w:rsidP="002936DE">
      <w:pPr>
        <w:spacing w:line="480" w:lineRule="auto"/>
        <w:ind w:left="720"/>
        <w:rPr>
          <w:i/>
          <w:iCs/>
        </w:rPr>
      </w:pPr>
      <w:r w:rsidRPr="00F63F3A">
        <w:rPr>
          <w:i/>
          <w:iCs/>
        </w:rPr>
        <w:t xml:space="preserve">Under the circumstances described </w:t>
      </w:r>
      <w:r>
        <w:rPr>
          <w:i/>
          <w:iCs/>
        </w:rPr>
        <w:t xml:space="preserve">in this story, would it be best for [Lisa] to be optimistic or pessimistic about the likelihood of [winning the award]? In other words, what is the ideal prediction for [Lisa] to make? In the light of the situation that she is in, it would be best to be:” </w:t>
      </w:r>
    </w:p>
    <w:p w14:paraId="641E588C" w14:textId="0CC08941" w:rsidR="00F33996" w:rsidRPr="004D00D7" w:rsidRDefault="00C038EC" w:rsidP="002936DE">
      <w:pPr>
        <w:pStyle w:val="FootnoteText"/>
        <w:spacing w:line="480" w:lineRule="auto"/>
        <w:rPr>
          <w:rFonts w:ascii="Times New Roman" w:hAnsi="Times New Roman" w:cs="Times New Roman"/>
          <w:color w:val="000000" w:themeColor="text1"/>
          <w:sz w:val="24"/>
          <w:szCs w:val="24"/>
        </w:rPr>
      </w:pPr>
      <w:r w:rsidRPr="004D00D7">
        <w:rPr>
          <w:rFonts w:ascii="Times New Roman" w:hAnsi="Times New Roman" w:cs="Times New Roman"/>
          <w:bCs/>
          <w:color w:val="000000" w:themeColor="text1"/>
          <w:sz w:val="24"/>
          <w:szCs w:val="24"/>
        </w:rPr>
        <w:t xml:space="preserve">The </w:t>
      </w:r>
      <w:r w:rsidR="008F7CF0">
        <w:rPr>
          <w:rFonts w:ascii="Times New Roman" w:hAnsi="Times New Roman" w:cs="Times New Roman"/>
          <w:bCs/>
          <w:color w:val="000000" w:themeColor="text1"/>
          <w:sz w:val="24"/>
          <w:szCs w:val="24"/>
        </w:rPr>
        <w:t>five</w:t>
      </w:r>
      <w:r w:rsidR="008F7CF0" w:rsidRPr="004D00D7">
        <w:rPr>
          <w:rFonts w:ascii="Times New Roman" w:hAnsi="Times New Roman" w:cs="Times New Roman"/>
          <w:bCs/>
          <w:color w:val="000000" w:themeColor="text1"/>
          <w:sz w:val="24"/>
          <w:szCs w:val="24"/>
        </w:rPr>
        <w:t xml:space="preserve"> </w:t>
      </w:r>
      <w:r w:rsidR="00212BFD">
        <w:rPr>
          <w:rFonts w:ascii="Times New Roman" w:hAnsi="Times New Roman" w:cs="Times New Roman"/>
          <w:bCs/>
          <w:color w:val="000000" w:themeColor="text1"/>
          <w:sz w:val="24"/>
          <w:szCs w:val="24"/>
        </w:rPr>
        <w:t>response</w:t>
      </w:r>
      <w:r w:rsidR="00212BFD" w:rsidRPr="004D00D7">
        <w:rPr>
          <w:rFonts w:ascii="Times New Roman" w:hAnsi="Times New Roman" w:cs="Times New Roman"/>
          <w:bCs/>
          <w:color w:val="000000" w:themeColor="text1"/>
          <w:sz w:val="24"/>
          <w:szCs w:val="24"/>
        </w:rPr>
        <w:t xml:space="preserve"> </w:t>
      </w:r>
      <w:r w:rsidRPr="004D00D7">
        <w:rPr>
          <w:rFonts w:ascii="Times New Roman" w:hAnsi="Times New Roman" w:cs="Times New Roman"/>
          <w:bCs/>
          <w:color w:val="000000" w:themeColor="text1"/>
          <w:sz w:val="24"/>
          <w:szCs w:val="24"/>
        </w:rPr>
        <w:t xml:space="preserve">options </w:t>
      </w:r>
      <w:r w:rsidR="000A4F35" w:rsidRPr="004D00D7">
        <w:rPr>
          <w:rFonts w:ascii="Times New Roman" w:hAnsi="Times New Roman" w:cs="Times New Roman"/>
          <w:bCs/>
          <w:color w:val="000000" w:themeColor="text1"/>
          <w:sz w:val="24"/>
          <w:szCs w:val="24"/>
        </w:rPr>
        <w:t xml:space="preserve">had these </w:t>
      </w:r>
      <w:r w:rsidRPr="004D00D7">
        <w:rPr>
          <w:rFonts w:ascii="Times New Roman" w:hAnsi="Times New Roman" w:cs="Times New Roman"/>
          <w:bCs/>
          <w:color w:val="000000" w:themeColor="text1"/>
          <w:sz w:val="24"/>
          <w:szCs w:val="24"/>
        </w:rPr>
        <w:t xml:space="preserve">labels: </w:t>
      </w:r>
      <w:bookmarkStart w:id="0" w:name="OLE_LINK1"/>
      <w:r w:rsidRPr="004D00D7">
        <w:rPr>
          <w:rFonts w:ascii="Times New Roman" w:hAnsi="Times New Roman" w:cs="Times New Roman"/>
          <w:bCs/>
          <w:i/>
          <w:iCs/>
          <w:color w:val="000000" w:themeColor="text1"/>
          <w:sz w:val="24"/>
          <w:szCs w:val="24"/>
        </w:rPr>
        <w:t>Extremely pessimistic,</w:t>
      </w:r>
      <w:r w:rsidRPr="004D00D7">
        <w:rPr>
          <w:rFonts w:ascii="Times New Roman" w:hAnsi="Times New Roman" w:cs="Times New Roman"/>
          <w:bCs/>
          <w:color w:val="000000" w:themeColor="text1"/>
          <w:sz w:val="24"/>
          <w:szCs w:val="24"/>
        </w:rPr>
        <w:t xml:space="preserve"> </w:t>
      </w:r>
      <w:r w:rsidRPr="004D00D7">
        <w:rPr>
          <w:rFonts w:ascii="Times New Roman" w:hAnsi="Times New Roman" w:cs="Times New Roman"/>
          <w:bCs/>
          <w:i/>
          <w:iCs/>
          <w:color w:val="000000" w:themeColor="text1"/>
          <w:sz w:val="24"/>
          <w:szCs w:val="24"/>
        </w:rPr>
        <w:t>Moderately pessimistic</w:t>
      </w:r>
      <w:r w:rsidRPr="004D00D7">
        <w:rPr>
          <w:rFonts w:ascii="Times New Roman" w:hAnsi="Times New Roman" w:cs="Times New Roman"/>
          <w:bCs/>
          <w:color w:val="000000" w:themeColor="text1"/>
          <w:sz w:val="24"/>
          <w:szCs w:val="24"/>
        </w:rPr>
        <w:t xml:space="preserve">, </w:t>
      </w:r>
      <w:r w:rsidRPr="004D00D7">
        <w:rPr>
          <w:rFonts w:ascii="Times New Roman" w:hAnsi="Times New Roman" w:cs="Times New Roman"/>
          <w:bCs/>
          <w:i/>
          <w:iCs/>
          <w:color w:val="000000" w:themeColor="text1"/>
          <w:sz w:val="24"/>
          <w:szCs w:val="24"/>
        </w:rPr>
        <w:t>Accurate</w:t>
      </w:r>
      <w:r w:rsidRPr="004D00D7">
        <w:rPr>
          <w:rFonts w:ascii="Times New Roman" w:hAnsi="Times New Roman" w:cs="Times New Roman"/>
          <w:bCs/>
          <w:color w:val="000000" w:themeColor="text1"/>
          <w:sz w:val="24"/>
          <w:szCs w:val="24"/>
        </w:rPr>
        <w:t xml:space="preserve">, </w:t>
      </w:r>
      <w:r w:rsidRPr="004D00D7">
        <w:rPr>
          <w:rFonts w:ascii="Times New Roman" w:hAnsi="Times New Roman" w:cs="Times New Roman"/>
          <w:bCs/>
          <w:i/>
          <w:iCs/>
          <w:color w:val="000000" w:themeColor="text1"/>
          <w:sz w:val="24"/>
          <w:szCs w:val="24"/>
        </w:rPr>
        <w:t>Moderately optimistic</w:t>
      </w:r>
      <w:r w:rsidRPr="004D00D7">
        <w:rPr>
          <w:rFonts w:ascii="Times New Roman" w:hAnsi="Times New Roman" w:cs="Times New Roman"/>
          <w:bCs/>
          <w:color w:val="000000" w:themeColor="text1"/>
          <w:sz w:val="24"/>
          <w:szCs w:val="24"/>
        </w:rPr>
        <w:t xml:space="preserve">, and </w:t>
      </w:r>
      <w:r w:rsidRPr="004D00D7">
        <w:rPr>
          <w:rFonts w:ascii="Times New Roman" w:hAnsi="Times New Roman" w:cs="Times New Roman"/>
          <w:bCs/>
          <w:i/>
          <w:iCs/>
          <w:color w:val="000000" w:themeColor="text1"/>
          <w:sz w:val="24"/>
          <w:szCs w:val="24"/>
        </w:rPr>
        <w:t>Extremely optimistic</w:t>
      </w:r>
      <w:bookmarkEnd w:id="0"/>
      <w:r w:rsidRPr="004D00D7">
        <w:rPr>
          <w:rFonts w:ascii="Times New Roman" w:hAnsi="Times New Roman" w:cs="Times New Roman"/>
          <w:bCs/>
          <w:color w:val="000000" w:themeColor="text1"/>
          <w:sz w:val="24"/>
          <w:szCs w:val="24"/>
        </w:rPr>
        <w:t xml:space="preserve">. </w:t>
      </w:r>
      <w:r w:rsidR="00BE156B" w:rsidRPr="004D00D7">
        <w:rPr>
          <w:rFonts w:ascii="Times New Roman" w:hAnsi="Times New Roman" w:cs="Times New Roman"/>
          <w:bCs/>
          <w:color w:val="000000" w:themeColor="text1"/>
          <w:sz w:val="24"/>
          <w:szCs w:val="24"/>
        </w:rPr>
        <w:t xml:space="preserve">This is a small modification from the scale used in Armor et al. (2008), which was a 9-point scale. However, their scale had only </w:t>
      </w:r>
      <w:r w:rsidR="008F7CF0">
        <w:rPr>
          <w:rFonts w:ascii="Times New Roman" w:hAnsi="Times New Roman" w:cs="Times New Roman"/>
          <w:bCs/>
          <w:color w:val="000000" w:themeColor="text1"/>
          <w:sz w:val="24"/>
          <w:szCs w:val="24"/>
        </w:rPr>
        <w:t>five</w:t>
      </w:r>
      <w:r w:rsidR="008F7CF0" w:rsidRPr="004D00D7">
        <w:rPr>
          <w:rFonts w:ascii="Times New Roman" w:hAnsi="Times New Roman" w:cs="Times New Roman"/>
          <w:bCs/>
          <w:color w:val="000000" w:themeColor="text1"/>
          <w:sz w:val="24"/>
          <w:szCs w:val="24"/>
        </w:rPr>
        <w:t xml:space="preserve"> </w:t>
      </w:r>
      <w:r w:rsidR="00BE156B" w:rsidRPr="004D00D7">
        <w:rPr>
          <w:rFonts w:ascii="Times New Roman" w:hAnsi="Times New Roman" w:cs="Times New Roman"/>
          <w:bCs/>
          <w:color w:val="000000" w:themeColor="text1"/>
          <w:sz w:val="24"/>
          <w:szCs w:val="24"/>
        </w:rPr>
        <w:t>anchors, thus our scale retained the same anchor wording.</w:t>
      </w:r>
      <w:r w:rsidR="00BE156B">
        <w:rPr>
          <w:rFonts w:ascii="Times New Roman" w:hAnsi="Times New Roman" w:cs="Times New Roman"/>
          <w:bCs/>
          <w:color w:val="000000" w:themeColor="text1"/>
          <w:sz w:val="24"/>
          <w:szCs w:val="24"/>
        </w:rPr>
        <w:t xml:space="preserve"> </w:t>
      </w:r>
      <w:r w:rsidR="009D45FE" w:rsidRPr="004D00D7">
        <w:rPr>
          <w:rFonts w:ascii="Times New Roman" w:hAnsi="Times New Roman" w:cs="Times New Roman"/>
          <w:bCs/>
          <w:color w:val="000000" w:themeColor="text1"/>
          <w:sz w:val="24"/>
          <w:szCs w:val="24"/>
        </w:rPr>
        <w:t>The question was the same for each scenari</w:t>
      </w:r>
      <w:r w:rsidR="002849BB" w:rsidRPr="004D00D7">
        <w:rPr>
          <w:rFonts w:ascii="Times New Roman" w:hAnsi="Times New Roman" w:cs="Times New Roman"/>
          <w:bCs/>
          <w:color w:val="000000" w:themeColor="text1"/>
          <w:sz w:val="24"/>
          <w:szCs w:val="24"/>
        </w:rPr>
        <w:t>o</w:t>
      </w:r>
      <w:r w:rsidR="009D45FE" w:rsidRPr="004D00D7">
        <w:rPr>
          <w:rFonts w:ascii="Times New Roman" w:hAnsi="Times New Roman" w:cs="Times New Roman"/>
          <w:bCs/>
          <w:color w:val="000000" w:themeColor="text1"/>
          <w:sz w:val="24"/>
          <w:szCs w:val="24"/>
        </w:rPr>
        <w:t xml:space="preserve"> except for the bracketed parts, which was </w:t>
      </w:r>
      <w:r w:rsidR="00F868D2">
        <w:rPr>
          <w:rFonts w:ascii="Times New Roman" w:hAnsi="Times New Roman" w:cs="Times New Roman"/>
          <w:bCs/>
          <w:color w:val="000000" w:themeColor="text1"/>
          <w:sz w:val="24"/>
          <w:szCs w:val="24"/>
        </w:rPr>
        <w:t>specific to the scenario</w:t>
      </w:r>
      <w:r w:rsidR="009D45FE" w:rsidRPr="004D00D7">
        <w:rPr>
          <w:rFonts w:ascii="Times New Roman" w:hAnsi="Times New Roman" w:cs="Times New Roman"/>
          <w:bCs/>
          <w:color w:val="000000" w:themeColor="text1"/>
          <w:sz w:val="24"/>
          <w:szCs w:val="24"/>
        </w:rPr>
        <w:t xml:space="preserve">. </w:t>
      </w:r>
    </w:p>
    <w:p w14:paraId="4BCA3146" w14:textId="295D3977" w:rsidR="00F86B14" w:rsidRDefault="00F33996" w:rsidP="002936DE">
      <w:pPr>
        <w:spacing w:line="480" w:lineRule="auto"/>
        <w:rPr>
          <w:bCs/>
        </w:rPr>
      </w:pPr>
      <w:r>
        <w:rPr>
          <w:bCs/>
        </w:rPr>
        <w:tab/>
      </w:r>
      <w:r w:rsidRPr="008E564D">
        <w:rPr>
          <w:bCs/>
        </w:rPr>
        <w:t xml:space="preserve">The other half of the participants saw prescription questions that used </w:t>
      </w:r>
      <w:r w:rsidR="00094C9F" w:rsidRPr="008E564D">
        <w:rPr>
          <w:bCs/>
        </w:rPr>
        <w:t>the new “</w:t>
      </w:r>
      <w:r w:rsidR="00EA2A9B" w:rsidRPr="008E564D">
        <w:rPr>
          <w:bCs/>
        </w:rPr>
        <w:t xml:space="preserve">estimation </w:t>
      </w:r>
      <w:r w:rsidRPr="008E564D">
        <w:rPr>
          <w:bCs/>
        </w:rPr>
        <w:t>wording,</w:t>
      </w:r>
      <w:r w:rsidR="00094C9F" w:rsidRPr="008E564D">
        <w:rPr>
          <w:bCs/>
        </w:rPr>
        <w:t>”</w:t>
      </w:r>
      <w:r w:rsidRPr="008E564D">
        <w:rPr>
          <w:bCs/>
        </w:rPr>
        <w:t xml:space="preserve"> focusing more on likelihood estimates:</w:t>
      </w:r>
      <w:r>
        <w:rPr>
          <w:bCs/>
        </w:rPr>
        <w:t xml:space="preserve"> </w:t>
      </w:r>
    </w:p>
    <w:p w14:paraId="02837432" w14:textId="19BCB189" w:rsidR="00F86B14" w:rsidRDefault="009D45FE" w:rsidP="00377A6F">
      <w:pPr>
        <w:widowControl w:val="0"/>
        <w:spacing w:line="480" w:lineRule="auto"/>
        <w:ind w:left="720"/>
        <w:rPr>
          <w:bCs/>
          <w:i/>
          <w:iCs/>
        </w:rPr>
      </w:pPr>
      <w:r>
        <w:rPr>
          <w:bCs/>
          <w:i/>
          <w:iCs/>
        </w:rPr>
        <w:t xml:space="preserve">Under the circumstances described in this story, how should [Lisa] estimate the likelihood of [winning the award]? In other words, what way of thinking would be advisable? In light of the situation that she is in, [Lisa] should ____ her likelihood of [winning the award]. </w:t>
      </w:r>
    </w:p>
    <w:p w14:paraId="0B6F7FAA" w14:textId="78726078" w:rsidR="00AE543D" w:rsidRPr="009D45FE" w:rsidRDefault="001C79D9" w:rsidP="00377A6F">
      <w:pPr>
        <w:widowControl w:val="0"/>
        <w:spacing w:line="480" w:lineRule="auto"/>
        <w:rPr>
          <w:bCs/>
        </w:rPr>
      </w:pPr>
      <w:r>
        <w:rPr>
          <w:bCs/>
        </w:rPr>
        <w:t xml:space="preserve">The </w:t>
      </w:r>
      <w:r w:rsidR="008F7CF0">
        <w:rPr>
          <w:bCs/>
        </w:rPr>
        <w:t xml:space="preserve">five </w:t>
      </w:r>
      <w:r w:rsidR="00212BFD">
        <w:rPr>
          <w:bCs/>
        </w:rPr>
        <w:t xml:space="preserve">response </w:t>
      </w:r>
      <w:r>
        <w:rPr>
          <w:bCs/>
        </w:rPr>
        <w:t xml:space="preserve">options </w:t>
      </w:r>
      <w:r w:rsidR="00F33996">
        <w:rPr>
          <w:bCs/>
        </w:rPr>
        <w:t>had these</w:t>
      </w:r>
      <w:r>
        <w:rPr>
          <w:bCs/>
        </w:rPr>
        <w:t xml:space="preserve"> labels: </w:t>
      </w:r>
      <w:r w:rsidRPr="001C79D9">
        <w:rPr>
          <w:bCs/>
          <w:i/>
          <w:iCs/>
        </w:rPr>
        <w:t>Greatly underestimate</w:t>
      </w:r>
      <w:r>
        <w:rPr>
          <w:bCs/>
        </w:rPr>
        <w:t xml:space="preserve">, </w:t>
      </w:r>
      <w:proofErr w:type="gramStart"/>
      <w:r w:rsidRPr="001C79D9">
        <w:rPr>
          <w:bCs/>
          <w:i/>
          <w:iCs/>
        </w:rPr>
        <w:t>Slightly</w:t>
      </w:r>
      <w:proofErr w:type="gramEnd"/>
      <w:r w:rsidRPr="001C79D9">
        <w:rPr>
          <w:bCs/>
          <w:i/>
          <w:iCs/>
        </w:rPr>
        <w:t xml:space="preserve"> underestimate</w:t>
      </w:r>
      <w:r>
        <w:rPr>
          <w:bCs/>
        </w:rPr>
        <w:t xml:space="preserve">, </w:t>
      </w:r>
      <w:r w:rsidRPr="001C79D9">
        <w:rPr>
          <w:bCs/>
          <w:i/>
          <w:iCs/>
        </w:rPr>
        <w:t>Accurately estimate</w:t>
      </w:r>
      <w:r>
        <w:rPr>
          <w:bCs/>
        </w:rPr>
        <w:t xml:space="preserve">, </w:t>
      </w:r>
      <w:r w:rsidRPr="001C79D9">
        <w:rPr>
          <w:bCs/>
          <w:i/>
          <w:iCs/>
        </w:rPr>
        <w:t>Slightly overestimate</w:t>
      </w:r>
      <w:r>
        <w:rPr>
          <w:bCs/>
        </w:rPr>
        <w:t xml:space="preserve">, and </w:t>
      </w:r>
      <w:r w:rsidRPr="001C79D9">
        <w:rPr>
          <w:bCs/>
          <w:i/>
          <w:iCs/>
        </w:rPr>
        <w:t>Greatly overestimate</w:t>
      </w:r>
      <w:r>
        <w:rPr>
          <w:bCs/>
        </w:rPr>
        <w:t xml:space="preserve">. </w:t>
      </w:r>
      <w:r w:rsidR="002849BB">
        <w:rPr>
          <w:bCs/>
        </w:rPr>
        <w:t xml:space="preserve">In addition to shifting the focus </w:t>
      </w:r>
      <w:r w:rsidR="00A341DC">
        <w:rPr>
          <w:bCs/>
        </w:rPr>
        <w:t>to how the protagonist should estimate the likelihood of the outcome</w:t>
      </w:r>
      <w:r w:rsidR="002849BB">
        <w:rPr>
          <w:bCs/>
        </w:rPr>
        <w:t xml:space="preserve">, the </w:t>
      </w:r>
      <w:r w:rsidR="005E0FD3">
        <w:rPr>
          <w:bCs/>
        </w:rPr>
        <w:t xml:space="preserve">new </w:t>
      </w:r>
      <w:r w:rsidR="00EA2A9B">
        <w:rPr>
          <w:bCs/>
        </w:rPr>
        <w:t xml:space="preserve">estimation </w:t>
      </w:r>
      <w:r w:rsidR="00F33996">
        <w:rPr>
          <w:bCs/>
        </w:rPr>
        <w:t xml:space="preserve">wording omitted the </w:t>
      </w:r>
      <w:r w:rsidR="002849BB">
        <w:rPr>
          <w:bCs/>
        </w:rPr>
        <w:t xml:space="preserve">positively-valence terms “best” and “ideal” </w:t>
      </w:r>
      <w:r w:rsidR="00A341DC">
        <w:rPr>
          <w:bCs/>
        </w:rPr>
        <w:t xml:space="preserve">that </w:t>
      </w:r>
      <w:r w:rsidR="00F33996">
        <w:rPr>
          <w:bCs/>
        </w:rPr>
        <w:t>were</w:t>
      </w:r>
      <w:r w:rsidR="002849BB">
        <w:rPr>
          <w:bCs/>
        </w:rPr>
        <w:t xml:space="preserve"> in the original wording</w:t>
      </w:r>
      <w:r w:rsidR="00F33996">
        <w:rPr>
          <w:bCs/>
        </w:rPr>
        <w:t xml:space="preserve"> (both here and in Armor et al., 2008)</w:t>
      </w:r>
      <w:r w:rsidR="002849BB">
        <w:rPr>
          <w:bCs/>
        </w:rPr>
        <w:t>.</w:t>
      </w:r>
      <w:r w:rsidR="00DA7479">
        <w:rPr>
          <w:bCs/>
        </w:rPr>
        <w:t xml:space="preserve"> We consider those to be potentia</w:t>
      </w:r>
      <w:r w:rsidR="005A72E8">
        <w:rPr>
          <w:bCs/>
        </w:rPr>
        <w:t>l</w:t>
      </w:r>
      <w:r w:rsidR="00DA7479">
        <w:rPr>
          <w:bCs/>
        </w:rPr>
        <w:t>l</w:t>
      </w:r>
      <w:r w:rsidR="005A72E8">
        <w:rPr>
          <w:bCs/>
        </w:rPr>
        <w:t>y</w:t>
      </w:r>
      <w:r w:rsidR="00DA7479">
        <w:rPr>
          <w:bCs/>
        </w:rPr>
        <w:t xml:space="preserve"> biasing features of the question</w:t>
      </w:r>
      <w:r w:rsidR="00AE543D">
        <w:rPr>
          <w:bCs/>
        </w:rPr>
        <w:t xml:space="preserve">—perhaps priming a positive valence or creating a misinterpretation of the question as asking for how a protagonist would feel if the protagonist’s situation was ideal. </w:t>
      </w:r>
    </w:p>
    <w:p w14:paraId="5FCF3157" w14:textId="411D2E50" w:rsidR="009A6FEA" w:rsidRDefault="009A6FEA" w:rsidP="002936DE">
      <w:pPr>
        <w:spacing w:line="480" w:lineRule="auto"/>
        <w:rPr>
          <w:b/>
          <w:i/>
          <w:iCs/>
        </w:rPr>
      </w:pPr>
      <w:r w:rsidRPr="001C1081">
        <w:rPr>
          <w:b/>
          <w:i/>
          <w:iCs/>
        </w:rPr>
        <w:lastRenderedPageBreak/>
        <w:t>Procedure</w:t>
      </w:r>
    </w:p>
    <w:p w14:paraId="063CDC05" w14:textId="25FD65A6" w:rsidR="004F0117" w:rsidRPr="00F22194" w:rsidRDefault="00997588" w:rsidP="002936DE">
      <w:pPr>
        <w:pStyle w:val="FootnoteText"/>
        <w:spacing w:line="480" w:lineRule="auto"/>
        <w:ind w:firstLine="720"/>
        <w:rPr>
          <w:rFonts w:ascii="Times New Roman" w:hAnsi="Times New Roman" w:cs="Times New Roman"/>
          <w:color w:val="000000" w:themeColor="text1"/>
          <w:sz w:val="24"/>
          <w:szCs w:val="24"/>
        </w:rPr>
      </w:pPr>
      <w:r w:rsidRPr="00F22194">
        <w:rPr>
          <w:rFonts w:ascii="Times New Roman" w:hAnsi="Times New Roman" w:cs="Times New Roman"/>
          <w:bCs/>
          <w:color w:val="000000" w:themeColor="text1"/>
          <w:sz w:val="24"/>
          <w:szCs w:val="24"/>
        </w:rPr>
        <w:t xml:space="preserve">Participants </w:t>
      </w:r>
      <w:r w:rsidR="00D371D1" w:rsidRPr="00F22194">
        <w:rPr>
          <w:rFonts w:ascii="Times New Roman" w:hAnsi="Times New Roman" w:cs="Times New Roman"/>
          <w:bCs/>
          <w:color w:val="000000" w:themeColor="text1"/>
          <w:sz w:val="24"/>
          <w:szCs w:val="24"/>
        </w:rPr>
        <w:t>took the study at individual computer terminal</w:t>
      </w:r>
      <w:r w:rsidR="00232D97" w:rsidRPr="00F22194">
        <w:rPr>
          <w:rFonts w:ascii="Times New Roman" w:hAnsi="Times New Roman" w:cs="Times New Roman"/>
          <w:bCs/>
          <w:color w:val="000000" w:themeColor="text1"/>
          <w:sz w:val="24"/>
          <w:szCs w:val="24"/>
        </w:rPr>
        <w:t>s</w:t>
      </w:r>
      <w:r w:rsidR="00D371D1" w:rsidRPr="00F22194">
        <w:rPr>
          <w:rFonts w:ascii="Times New Roman" w:hAnsi="Times New Roman" w:cs="Times New Roman"/>
          <w:bCs/>
          <w:color w:val="000000" w:themeColor="text1"/>
          <w:sz w:val="24"/>
          <w:szCs w:val="24"/>
        </w:rPr>
        <w:t xml:space="preserve">. </w:t>
      </w:r>
      <w:r w:rsidRPr="00F22194">
        <w:rPr>
          <w:rFonts w:ascii="Times New Roman" w:hAnsi="Times New Roman" w:cs="Times New Roman"/>
          <w:bCs/>
          <w:color w:val="000000" w:themeColor="text1"/>
          <w:sz w:val="24"/>
          <w:szCs w:val="24"/>
        </w:rPr>
        <w:t xml:space="preserve">After </w:t>
      </w:r>
      <w:r w:rsidR="00212BFD">
        <w:rPr>
          <w:rFonts w:ascii="Times New Roman" w:hAnsi="Times New Roman" w:cs="Times New Roman"/>
          <w:bCs/>
          <w:color w:val="000000" w:themeColor="text1"/>
          <w:sz w:val="24"/>
          <w:szCs w:val="24"/>
        </w:rPr>
        <w:t>consenting</w:t>
      </w:r>
      <w:r w:rsidRPr="00F22194">
        <w:rPr>
          <w:rFonts w:ascii="Times New Roman" w:hAnsi="Times New Roman" w:cs="Times New Roman"/>
          <w:bCs/>
          <w:color w:val="000000" w:themeColor="text1"/>
          <w:sz w:val="24"/>
          <w:szCs w:val="24"/>
        </w:rPr>
        <w:t xml:space="preserve">, </w:t>
      </w:r>
      <w:r w:rsidR="00D371D1" w:rsidRPr="00F22194">
        <w:rPr>
          <w:rFonts w:ascii="Times New Roman" w:hAnsi="Times New Roman" w:cs="Times New Roman"/>
          <w:bCs/>
          <w:color w:val="000000" w:themeColor="text1"/>
          <w:sz w:val="24"/>
          <w:szCs w:val="24"/>
        </w:rPr>
        <w:t xml:space="preserve">they </w:t>
      </w:r>
      <w:r w:rsidRPr="00F22194">
        <w:rPr>
          <w:rFonts w:ascii="Times New Roman" w:hAnsi="Times New Roman" w:cs="Times New Roman"/>
          <w:bCs/>
          <w:color w:val="000000" w:themeColor="text1"/>
          <w:sz w:val="24"/>
          <w:szCs w:val="24"/>
        </w:rPr>
        <w:t>first completed a different, unrelated study before reading the first scenario. Participants always</w:t>
      </w:r>
      <w:r w:rsidR="002F57FC" w:rsidRPr="00F22194">
        <w:rPr>
          <w:rFonts w:ascii="Times New Roman" w:hAnsi="Times New Roman" w:cs="Times New Roman"/>
          <w:bCs/>
          <w:color w:val="000000" w:themeColor="text1"/>
          <w:sz w:val="24"/>
          <w:szCs w:val="24"/>
        </w:rPr>
        <w:t xml:space="preserve"> saw the scenarios in a fixed order, starting with the award scenario and ending with the financial investment scenario. They were randomly assigned to answer one of the two dependent variables and answered the same one for each of the three scenarios. </w:t>
      </w:r>
      <w:r w:rsidR="00C97746" w:rsidRPr="00F22194">
        <w:rPr>
          <w:rFonts w:ascii="Times New Roman" w:hAnsi="Times New Roman" w:cs="Times New Roman"/>
          <w:bCs/>
          <w:color w:val="000000" w:themeColor="text1"/>
          <w:sz w:val="24"/>
          <w:szCs w:val="24"/>
        </w:rPr>
        <w:t xml:space="preserve">After completing </w:t>
      </w:r>
      <w:r w:rsidR="008F7CF0">
        <w:rPr>
          <w:rFonts w:ascii="Times New Roman" w:hAnsi="Times New Roman" w:cs="Times New Roman"/>
          <w:bCs/>
          <w:color w:val="000000" w:themeColor="text1"/>
          <w:sz w:val="24"/>
          <w:szCs w:val="24"/>
        </w:rPr>
        <w:t xml:space="preserve">all of </w:t>
      </w:r>
      <w:r w:rsidR="00C97746" w:rsidRPr="00F22194">
        <w:rPr>
          <w:rFonts w:ascii="Times New Roman" w:hAnsi="Times New Roman" w:cs="Times New Roman"/>
          <w:bCs/>
          <w:color w:val="000000" w:themeColor="text1"/>
          <w:sz w:val="24"/>
          <w:szCs w:val="24"/>
        </w:rPr>
        <w:t xml:space="preserve">the main dependent variables, </w:t>
      </w:r>
      <w:r w:rsidR="000F3EB4">
        <w:rPr>
          <w:rFonts w:ascii="Times New Roman" w:hAnsi="Times New Roman" w:cs="Times New Roman"/>
          <w:bCs/>
          <w:color w:val="000000" w:themeColor="text1"/>
          <w:sz w:val="24"/>
          <w:szCs w:val="24"/>
        </w:rPr>
        <w:t>participants</w:t>
      </w:r>
      <w:r w:rsidR="000F3EB4" w:rsidRPr="00F22194">
        <w:rPr>
          <w:rFonts w:ascii="Times New Roman" w:hAnsi="Times New Roman" w:cs="Times New Roman"/>
          <w:bCs/>
          <w:color w:val="000000" w:themeColor="text1"/>
          <w:sz w:val="24"/>
          <w:szCs w:val="24"/>
        </w:rPr>
        <w:t xml:space="preserve"> </w:t>
      </w:r>
      <w:r w:rsidR="00C97746" w:rsidRPr="00F22194">
        <w:rPr>
          <w:rFonts w:ascii="Times New Roman" w:hAnsi="Times New Roman" w:cs="Times New Roman"/>
          <w:bCs/>
          <w:color w:val="000000" w:themeColor="text1"/>
          <w:sz w:val="24"/>
          <w:szCs w:val="24"/>
        </w:rPr>
        <w:t>answered 11 exploratory measures for each scenario</w:t>
      </w:r>
      <w:r w:rsidR="004F0117">
        <w:rPr>
          <w:rFonts w:ascii="Times New Roman" w:hAnsi="Times New Roman" w:cs="Times New Roman"/>
          <w:bCs/>
          <w:color w:val="000000" w:themeColor="text1"/>
          <w:sz w:val="24"/>
          <w:szCs w:val="24"/>
        </w:rPr>
        <w:t xml:space="preserve">. </w:t>
      </w:r>
      <w:r w:rsidR="004F0117" w:rsidRPr="00F22194">
        <w:rPr>
          <w:rFonts w:ascii="Times New Roman" w:hAnsi="Times New Roman" w:cs="Times New Roman"/>
          <w:color w:val="000000" w:themeColor="text1"/>
          <w:sz w:val="24"/>
          <w:szCs w:val="24"/>
        </w:rPr>
        <w:t>These exploratory measures assessed perceptions of the sensibility of different reasons for prescribing optimism/realism/pessimism. See Supplemental Online Materials-Unreviewed for the measures.</w:t>
      </w:r>
    </w:p>
    <w:p w14:paraId="716AEFFE" w14:textId="652CDE25" w:rsidR="00B741C3" w:rsidRPr="00377A6F" w:rsidRDefault="00377A6F" w:rsidP="002936DE">
      <w:pPr>
        <w:spacing w:line="480" w:lineRule="auto"/>
        <w:rPr>
          <w:bCs/>
          <w:color w:val="000000" w:themeColor="text1"/>
        </w:rPr>
      </w:pPr>
      <w:r>
        <w:rPr>
          <w:bCs/>
          <w:color w:val="000000" w:themeColor="text1"/>
        </w:rPr>
        <w:t>Participants then</w:t>
      </w:r>
      <w:r w:rsidR="00836678" w:rsidRPr="00F22194">
        <w:rPr>
          <w:bCs/>
          <w:color w:val="000000" w:themeColor="text1"/>
        </w:rPr>
        <w:t xml:space="preserve"> answered basic demographic questions before being debriefed for both studies and dismissed. </w:t>
      </w:r>
    </w:p>
    <w:p w14:paraId="35132C72" w14:textId="2E85E700" w:rsidR="001C79D9" w:rsidRDefault="001C79D9" w:rsidP="002936DE">
      <w:pPr>
        <w:spacing w:line="480" w:lineRule="auto"/>
        <w:rPr>
          <w:b/>
          <w:bCs/>
        </w:rPr>
      </w:pPr>
      <w:r>
        <w:rPr>
          <w:b/>
          <w:bCs/>
        </w:rPr>
        <w:t>Results</w:t>
      </w:r>
    </w:p>
    <w:p w14:paraId="6236FBFA" w14:textId="62613DDF" w:rsidR="00377A6F" w:rsidRDefault="00D02C01" w:rsidP="00377A6F">
      <w:pPr>
        <w:widowControl w:val="0"/>
        <w:spacing w:line="480" w:lineRule="auto"/>
        <w:ind w:firstLine="720"/>
      </w:pPr>
      <w:r>
        <w:t>All prescriptions were</w:t>
      </w:r>
      <w:r w:rsidR="00A9293C" w:rsidRPr="00913A3B">
        <w:t xml:space="preserve"> coded from -2 to +2. </w:t>
      </w:r>
      <w:r w:rsidR="00067074" w:rsidRPr="00913A3B">
        <w:t>For both the original</w:t>
      </w:r>
      <w:r w:rsidR="00D6573B">
        <w:t>-wording</w:t>
      </w:r>
      <w:r w:rsidR="00067074" w:rsidRPr="00913A3B">
        <w:t xml:space="preserve"> and </w:t>
      </w:r>
      <w:r w:rsidR="00EA2A9B">
        <w:t>estimation</w:t>
      </w:r>
      <w:r w:rsidR="00D6573B">
        <w:t xml:space="preserve">-wording </w:t>
      </w:r>
      <w:r w:rsidR="00067074" w:rsidRPr="00913A3B">
        <w:t>conditions, the scale midpoint</w:t>
      </w:r>
      <w:r w:rsidR="00A9293C" w:rsidRPr="00913A3B">
        <w:t xml:space="preserve"> is 0 and </w:t>
      </w:r>
      <w:r w:rsidR="00067074" w:rsidRPr="00913A3B">
        <w:t>reflect</w:t>
      </w:r>
      <w:r w:rsidR="00A9293C" w:rsidRPr="00913A3B">
        <w:t xml:space="preserve">s </w:t>
      </w:r>
      <w:r w:rsidR="00067074" w:rsidRPr="00913A3B">
        <w:t>a prescription of accuracy</w:t>
      </w:r>
      <w:r w:rsidR="00A9293C" w:rsidRPr="00913A3B">
        <w:t xml:space="preserve">. </w:t>
      </w:r>
      <w:r w:rsidR="00067074" w:rsidRPr="00913A3B">
        <w:t xml:space="preserve">Means above </w:t>
      </w:r>
      <w:r w:rsidR="00A9293C" w:rsidRPr="00913A3B">
        <w:t>0</w:t>
      </w:r>
      <w:r w:rsidR="00067074" w:rsidRPr="00913A3B">
        <w:t xml:space="preserve"> </w:t>
      </w:r>
      <w:r w:rsidR="00A9293C" w:rsidRPr="00913A3B">
        <w:t xml:space="preserve">would </w:t>
      </w:r>
      <w:r w:rsidR="00067074" w:rsidRPr="00913A3B">
        <w:t xml:space="preserve">reflect </w:t>
      </w:r>
      <w:r w:rsidR="00A9293C" w:rsidRPr="00913A3B">
        <w:t xml:space="preserve">optimism in both conditions. More precisely, they would reflect </w:t>
      </w:r>
      <w:r w:rsidR="00067074" w:rsidRPr="00913A3B">
        <w:t>prescriptions</w:t>
      </w:r>
      <w:r w:rsidR="00A9293C" w:rsidRPr="00913A3B">
        <w:t xml:space="preserve"> of optimism in the original condition and prescriptions of overly</w:t>
      </w:r>
      <w:r w:rsidR="008F7CF0">
        <w:t xml:space="preserve"> </w:t>
      </w:r>
      <w:r w:rsidR="00A9293C" w:rsidRPr="00913A3B">
        <w:t xml:space="preserve">optimistic estimations in the </w:t>
      </w:r>
      <w:r w:rsidR="00EA2A9B">
        <w:t>estimation</w:t>
      </w:r>
      <w:r w:rsidR="00CE17F9">
        <w:t>-</w:t>
      </w:r>
      <w:r w:rsidR="00A9293C" w:rsidRPr="00913A3B">
        <w:t>wording condition.</w:t>
      </w:r>
      <w:r>
        <w:t xml:space="preserve"> Means for prescriptions across all factors can be found in Table 2.</w:t>
      </w:r>
      <w:r w:rsidR="00377A6F">
        <w:t xml:space="preserve"> </w:t>
      </w:r>
      <w:r w:rsidR="005A6CCA">
        <w:t>The counterbalancing factor was included in preliminary analyses but omitted here. Those result</w:t>
      </w:r>
      <w:r w:rsidR="009278AB">
        <w:t xml:space="preserve">s </w:t>
      </w:r>
      <w:r w:rsidR="005A6CCA">
        <w:t xml:space="preserve">do not materially impact any conclusions reported below </w:t>
      </w:r>
      <w:r w:rsidR="00B612B6">
        <w:t xml:space="preserve">but see SOM-R for those analyses. </w:t>
      </w:r>
      <w:r w:rsidR="00A0652F" w:rsidRPr="00913A3B">
        <w:t xml:space="preserve"> </w:t>
      </w:r>
    </w:p>
    <w:p w14:paraId="478F7FFC" w14:textId="6A463A2B" w:rsidR="00E22709" w:rsidRDefault="00E22709" w:rsidP="00377A6F">
      <w:pPr>
        <w:widowControl w:val="0"/>
        <w:spacing w:line="480" w:lineRule="auto"/>
        <w:ind w:firstLine="720"/>
      </w:pPr>
    </w:p>
    <w:p w14:paraId="233260D5" w14:textId="77777777" w:rsidR="00E22709" w:rsidRDefault="00E22709" w:rsidP="00377A6F">
      <w:pPr>
        <w:widowControl w:val="0"/>
        <w:spacing w:line="480" w:lineRule="auto"/>
        <w:ind w:firstLine="720"/>
      </w:pPr>
    </w:p>
    <w:p w14:paraId="6132C34A" w14:textId="77777777" w:rsidR="00DA6DAA" w:rsidRDefault="00DA6DAA" w:rsidP="00377A6F">
      <w:pPr>
        <w:widowControl w:val="0"/>
        <w:spacing w:line="480" w:lineRule="auto"/>
        <w:ind w:firstLine="720"/>
      </w:pPr>
    </w:p>
    <w:tbl>
      <w:tblPr>
        <w:tblW w:w="10800" w:type="dxa"/>
        <w:jc w:val="center"/>
        <w:tblLayout w:type="fixed"/>
        <w:tblCellMar>
          <w:top w:w="15" w:type="dxa"/>
        </w:tblCellMar>
        <w:tblLook w:val="04A0" w:firstRow="1" w:lastRow="0" w:firstColumn="1" w:lastColumn="0" w:noHBand="0" w:noVBand="1"/>
      </w:tblPr>
      <w:tblGrid>
        <w:gridCol w:w="1862"/>
        <w:gridCol w:w="2141"/>
        <w:gridCol w:w="1862"/>
        <w:gridCol w:w="1675"/>
        <w:gridCol w:w="1677"/>
        <w:gridCol w:w="1583"/>
      </w:tblGrid>
      <w:tr w:rsidR="00C472B2" w:rsidRPr="00C472B2" w14:paraId="5B691599" w14:textId="77777777" w:rsidTr="00CC3C10">
        <w:trPr>
          <w:trHeight w:val="275"/>
          <w:jc w:val="center"/>
        </w:trPr>
        <w:tc>
          <w:tcPr>
            <w:tcW w:w="10800" w:type="dxa"/>
            <w:gridSpan w:val="6"/>
            <w:tcBorders>
              <w:top w:val="nil"/>
              <w:left w:val="nil"/>
              <w:bottom w:val="single" w:sz="4" w:space="0" w:color="auto"/>
              <w:right w:val="nil"/>
            </w:tcBorders>
            <w:shd w:val="clear" w:color="000000" w:fill="FFFFFF"/>
            <w:noWrap/>
            <w:vAlign w:val="bottom"/>
            <w:hideMark/>
          </w:tcPr>
          <w:p w14:paraId="44E68AD6" w14:textId="77777777" w:rsidR="00C472B2" w:rsidRPr="00C472B2" w:rsidRDefault="00C472B2" w:rsidP="00377A6F">
            <w:pPr>
              <w:rPr>
                <w:color w:val="000000"/>
                <w:sz w:val="23"/>
                <w:szCs w:val="23"/>
              </w:rPr>
            </w:pPr>
            <w:r w:rsidRPr="00C472B2">
              <w:rPr>
                <w:color w:val="000000"/>
                <w:sz w:val="23"/>
                <w:szCs w:val="23"/>
              </w:rPr>
              <w:lastRenderedPageBreak/>
              <w:t>Table 2.</w:t>
            </w:r>
            <w:r w:rsidRPr="00C472B2">
              <w:rPr>
                <w:i/>
                <w:iCs/>
                <w:color w:val="000000"/>
                <w:sz w:val="23"/>
                <w:szCs w:val="23"/>
              </w:rPr>
              <w:t xml:space="preserve"> Study 1 Mean Prescriptions Per Scenario, Version, and Prescription Wording</w:t>
            </w:r>
          </w:p>
        </w:tc>
      </w:tr>
      <w:tr w:rsidR="00CC3C10" w:rsidRPr="00C472B2" w14:paraId="769AEAEF" w14:textId="77777777" w:rsidTr="00180692">
        <w:trPr>
          <w:trHeight w:val="389"/>
          <w:jc w:val="center"/>
        </w:trPr>
        <w:tc>
          <w:tcPr>
            <w:tcW w:w="1862" w:type="dxa"/>
            <w:vMerge w:val="restart"/>
            <w:tcBorders>
              <w:top w:val="nil"/>
              <w:left w:val="nil"/>
              <w:bottom w:val="single" w:sz="4" w:space="0" w:color="000000"/>
              <w:right w:val="nil"/>
            </w:tcBorders>
            <w:shd w:val="clear" w:color="000000" w:fill="FFFFFF"/>
            <w:noWrap/>
            <w:vAlign w:val="center"/>
            <w:hideMark/>
          </w:tcPr>
          <w:p w14:paraId="696E70F6" w14:textId="77777777" w:rsidR="00C472B2" w:rsidRPr="00C472B2" w:rsidRDefault="00C472B2" w:rsidP="00377A6F">
            <w:pPr>
              <w:jc w:val="center"/>
              <w:rPr>
                <w:color w:val="000000"/>
                <w:sz w:val="22"/>
                <w:szCs w:val="22"/>
              </w:rPr>
            </w:pPr>
            <w:r w:rsidRPr="00C472B2">
              <w:rPr>
                <w:color w:val="000000"/>
                <w:sz w:val="22"/>
                <w:szCs w:val="22"/>
              </w:rPr>
              <w:t xml:space="preserve">Scenarios </w:t>
            </w:r>
          </w:p>
        </w:tc>
        <w:tc>
          <w:tcPr>
            <w:tcW w:w="2141" w:type="dxa"/>
            <w:vMerge w:val="restart"/>
            <w:tcBorders>
              <w:top w:val="nil"/>
              <w:left w:val="nil"/>
              <w:bottom w:val="single" w:sz="4" w:space="0" w:color="000000"/>
              <w:right w:val="nil"/>
            </w:tcBorders>
            <w:shd w:val="clear" w:color="000000" w:fill="FFFFFF"/>
            <w:vAlign w:val="center"/>
            <w:hideMark/>
          </w:tcPr>
          <w:p w14:paraId="4CF07A2A" w14:textId="77777777" w:rsidR="00C472B2" w:rsidRPr="00C472B2" w:rsidRDefault="00C472B2" w:rsidP="00377A6F">
            <w:pPr>
              <w:jc w:val="center"/>
              <w:rPr>
                <w:color w:val="000000"/>
                <w:sz w:val="22"/>
                <w:szCs w:val="22"/>
              </w:rPr>
            </w:pPr>
            <w:r w:rsidRPr="00C472B2">
              <w:rPr>
                <w:color w:val="000000"/>
                <w:sz w:val="22"/>
                <w:szCs w:val="22"/>
              </w:rPr>
              <w:t xml:space="preserve">Prescription </w:t>
            </w:r>
            <w:r w:rsidRPr="00C472B2">
              <w:rPr>
                <w:color w:val="000000"/>
                <w:sz w:val="22"/>
                <w:szCs w:val="22"/>
              </w:rPr>
              <w:br/>
              <w:t>Wording</w:t>
            </w:r>
          </w:p>
        </w:tc>
        <w:tc>
          <w:tcPr>
            <w:tcW w:w="5214" w:type="dxa"/>
            <w:gridSpan w:val="3"/>
            <w:tcBorders>
              <w:top w:val="single" w:sz="4" w:space="0" w:color="auto"/>
              <w:left w:val="nil"/>
              <w:bottom w:val="single" w:sz="4" w:space="0" w:color="auto"/>
              <w:right w:val="nil"/>
            </w:tcBorders>
            <w:shd w:val="clear" w:color="000000" w:fill="FFFFFF"/>
            <w:noWrap/>
            <w:vAlign w:val="center"/>
            <w:hideMark/>
          </w:tcPr>
          <w:p w14:paraId="408B6D35" w14:textId="77777777" w:rsidR="00C472B2" w:rsidRPr="00C472B2" w:rsidRDefault="00C472B2" w:rsidP="00377A6F">
            <w:pPr>
              <w:jc w:val="center"/>
              <w:rPr>
                <w:color w:val="000000"/>
                <w:sz w:val="22"/>
                <w:szCs w:val="22"/>
              </w:rPr>
            </w:pPr>
            <w:r w:rsidRPr="00C472B2">
              <w:rPr>
                <w:color w:val="000000"/>
                <w:sz w:val="22"/>
                <w:szCs w:val="22"/>
              </w:rPr>
              <w:t>Scenario Moderators</w:t>
            </w:r>
          </w:p>
        </w:tc>
        <w:tc>
          <w:tcPr>
            <w:tcW w:w="1582" w:type="dxa"/>
            <w:vMerge w:val="restart"/>
            <w:tcBorders>
              <w:top w:val="single" w:sz="4" w:space="0" w:color="auto"/>
              <w:left w:val="nil"/>
              <w:bottom w:val="single" w:sz="4" w:space="0" w:color="000000"/>
              <w:right w:val="nil"/>
            </w:tcBorders>
            <w:shd w:val="clear" w:color="000000" w:fill="FFFFFF"/>
            <w:vAlign w:val="center"/>
            <w:hideMark/>
          </w:tcPr>
          <w:p w14:paraId="3FE95CD3" w14:textId="77777777" w:rsidR="00C472B2" w:rsidRPr="00C472B2" w:rsidRDefault="00C472B2" w:rsidP="00377A6F">
            <w:pPr>
              <w:jc w:val="center"/>
              <w:rPr>
                <w:color w:val="000000"/>
                <w:sz w:val="21"/>
                <w:szCs w:val="21"/>
              </w:rPr>
            </w:pPr>
            <w:r w:rsidRPr="00C472B2">
              <w:rPr>
                <w:color w:val="000000"/>
                <w:sz w:val="21"/>
                <w:szCs w:val="21"/>
              </w:rPr>
              <w:t>Average</w:t>
            </w:r>
            <w:r w:rsidRPr="00C472B2">
              <w:rPr>
                <w:color w:val="000000"/>
                <w:sz w:val="21"/>
                <w:szCs w:val="21"/>
              </w:rPr>
              <w:br/>
              <w:t xml:space="preserve"> (collapsed across versions)</w:t>
            </w:r>
          </w:p>
        </w:tc>
      </w:tr>
      <w:tr w:rsidR="00CC3C10" w:rsidRPr="00C472B2" w14:paraId="07252148" w14:textId="77777777" w:rsidTr="00CC3C10">
        <w:trPr>
          <w:trHeight w:val="293"/>
          <w:jc w:val="center"/>
        </w:trPr>
        <w:tc>
          <w:tcPr>
            <w:tcW w:w="1862" w:type="dxa"/>
            <w:vMerge/>
            <w:tcBorders>
              <w:top w:val="nil"/>
              <w:left w:val="nil"/>
              <w:bottom w:val="single" w:sz="4" w:space="0" w:color="000000"/>
              <w:right w:val="nil"/>
            </w:tcBorders>
            <w:vAlign w:val="center"/>
            <w:hideMark/>
          </w:tcPr>
          <w:p w14:paraId="3033BC53" w14:textId="77777777" w:rsidR="00C472B2" w:rsidRPr="00C472B2" w:rsidRDefault="00C472B2" w:rsidP="00377A6F">
            <w:pPr>
              <w:rPr>
                <w:color w:val="000000"/>
                <w:sz w:val="22"/>
                <w:szCs w:val="22"/>
              </w:rPr>
            </w:pPr>
          </w:p>
        </w:tc>
        <w:tc>
          <w:tcPr>
            <w:tcW w:w="2141" w:type="dxa"/>
            <w:vMerge/>
            <w:tcBorders>
              <w:top w:val="nil"/>
              <w:left w:val="nil"/>
              <w:bottom w:val="single" w:sz="4" w:space="0" w:color="000000"/>
              <w:right w:val="nil"/>
            </w:tcBorders>
            <w:vAlign w:val="center"/>
            <w:hideMark/>
          </w:tcPr>
          <w:p w14:paraId="4BCC8C66" w14:textId="77777777" w:rsidR="00C472B2" w:rsidRPr="00C472B2" w:rsidRDefault="00C472B2" w:rsidP="00377A6F">
            <w:pPr>
              <w:rPr>
                <w:color w:val="000000"/>
                <w:sz w:val="22"/>
                <w:szCs w:val="22"/>
              </w:rPr>
            </w:pPr>
          </w:p>
        </w:tc>
        <w:tc>
          <w:tcPr>
            <w:tcW w:w="1862" w:type="dxa"/>
            <w:vMerge w:val="restart"/>
            <w:tcBorders>
              <w:top w:val="nil"/>
              <w:left w:val="nil"/>
              <w:bottom w:val="single" w:sz="4" w:space="0" w:color="000000"/>
              <w:right w:val="nil"/>
            </w:tcBorders>
            <w:shd w:val="clear" w:color="000000" w:fill="FFFFFF"/>
            <w:vAlign w:val="center"/>
            <w:hideMark/>
          </w:tcPr>
          <w:p w14:paraId="1182D953" w14:textId="77777777" w:rsidR="00C472B2" w:rsidRDefault="006E0610" w:rsidP="00377A6F">
            <w:pPr>
              <w:jc w:val="center"/>
              <w:rPr>
                <w:color w:val="000000"/>
                <w:sz w:val="20"/>
                <w:szCs w:val="20"/>
              </w:rPr>
            </w:pPr>
            <w:r>
              <w:rPr>
                <w:color w:val="000000"/>
                <w:sz w:val="20"/>
                <w:szCs w:val="20"/>
              </w:rPr>
              <w:t xml:space="preserve">Internal </w:t>
            </w:r>
            <w:r w:rsidRPr="006E0610">
              <w:rPr>
                <w:color w:val="000000"/>
                <w:sz w:val="21"/>
                <w:szCs w:val="21"/>
              </w:rPr>
              <w:t>agency</w:t>
            </w:r>
            <w:r>
              <w:rPr>
                <w:color w:val="000000"/>
                <w:sz w:val="20"/>
                <w:szCs w:val="20"/>
              </w:rPr>
              <w:t>/</w:t>
            </w:r>
          </w:p>
          <w:p w14:paraId="01331381" w14:textId="3BF42247" w:rsidR="006E0610" w:rsidRPr="00C472B2" w:rsidRDefault="006E0610" w:rsidP="00377A6F">
            <w:pPr>
              <w:jc w:val="center"/>
              <w:rPr>
                <w:color w:val="000000"/>
                <w:sz w:val="20"/>
                <w:szCs w:val="20"/>
              </w:rPr>
            </w:pPr>
            <w:r>
              <w:rPr>
                <w:color w:val="000000"/>
                <w:sz w:val="20"/>
                <w:szCs w:val="20"/>
              </w:rPr>
              <w:t>pre-</w:t>
            </w:r>
            <w:r w:rsidRPr="006E0610">
              <w:rPr>
                <w:color w:val="000000"/>
                <w:sz w:val="21"/>
                <w:szCs w:val="21"/>
              </w:rPr>
              <w:t>commitment</w:t>
            </w:r>
          </w:p>
        </w:tc>
        <w:tc>
          <w:tcPr>
            <w:tcW w:w="1675" w:type="dxa"/>
            <w:vMerge w:val="restart"/>
            <w:tcBorders>
              <w:top w:val="nil"/>
              <w:left w:val="nil"/>
              <w:bottom w:val="single" w:sz="4" w:space="0" w:color="000000"/>
              <w:right w:val="nil"/>
            </w:tcBorders>
            <w:shd w:val="clear" w:color="000000" w:fill="FFFFFF"/>
            <w:vAlign w:val="center"/>
            <w:hideMark/>
          </w:tcPr>
          <w:p w14:paraId="0111A388" w14:textId="77777777" w:rsidR="006E0610" w:rsidRPr="006E0610" w:rsidRDefault="006E0610" w:rsidP="00377A6F">
            <w:pPr>
              <w:jc w:val="center"/>
              <w:rPr>
                <w:color w:val="000000"/>
                <w:sz w:val="21"/>
                <w:szCs w:val="21"/>
              </w:rPr>
            </w:pPr>
            <w:r w:rsidRPr="006E0610">
              <w:rPr>
                <w:color w:val="000000"/>
                <w:sz w:val="20"/>
                <w:szCs w:val="20"/>
              </w:rPr>
              <w:t>Internal agency</w:t>
            </w:r>
            <w:r w:rsidRPr="006E0610">
              <w:rPr>
                <w:color w:val="000000"/>
                <w:sz w:val="21"/>
                <w:szCs w:val="21"/>
              </w:rPr>
              <w:t>/</w:t>
            </w:r>
          </w:p>
          <w:p w14:paraId="1F7FE54D" w14:textId="3F460989" w:rsidR="00C472B2" w:rsidRPr="00C472B2" w:rsidRDefault="006E0610" w:rsidP="00377A6F">
            <w:pPr>
              <w:jc w:val="center"/>
              <w:rPr>
                <w:color w:val="000000"/>
                <w:sz w:val="21"/>
                <w:szCs w:val="21"/>
              </w:rPr>
            </w:pPr>
            <w:r w:rsidRPr="006E0610">
              <w:rPr>
                <w:color w:val="000000"/>
                <w:sz w:val="20"/>
                <w:szCs w:val="20"/>
              </w:rPr>
              <w:t>post-commitment</w:t>
            </w:r>
          </w:p>
        </w:tc>
        <w:tc>
          <w:tcPr>
            <w:tcW w:w="1675" w:type="dxa"/>
            <w:vMerge w:val="restart"/>
            <w:tcBorders>
              <w:top w:val="nil"/>
              <w:left w:val="nil"/>
              <w:bottom w:val="single" w:sz="4" w:space="0" w:color="000000"/>
              <w:right w:val="nil"/>
            </w:tcBorders>
            <w:shd w:val="clear" w:color="000000" w:fill="FFFFFF"/>
            <w:vAlign w:val="center"/>
            <w:hideMark/>
          </w:tcPr>
          <w:p w14:paraId="5BAD9771" w14:textId="77777777" w:rsidR="00C472B2" w:rsidRPr="006E0610" w:rsidRDefault="006E0610" w:rsidP="00377A6F">
            <w:pPr>
              <w:jc w:val="center"/>
              <w:rPr>
                <w:color w:val="000000"/>
                <w:sz w:val="20"/>
                <w:szCs w:val="20"/>
              </w:rPr>
            </w:pPr>
            <w:r w:rsidRPr="006E0610">
              <w:rPr>
                <w:color w:val="000000"/>
                <w:sz w:val="20"/>
                <w:szCs w:val="20"/>
              </w:rPr>
              <w:t>External agency/</w:t>
            </w:r>
          </w:p>
          <w:p w14:paraId="088C7F9D" w14:textId="4518DC8E" w:rsidR="006E0610" w:rsidRPr="00C472B2" w:rsidRDefault="006E0610" w:rsidP="00377A6F">
            <w:pPr>
              <w:jc w:val="center"/>
              <w:rPr>
                <w:color w:val="000000"/>
                <w:sz w:val="21"/>
                <w:szCs w:val="21"/>
              </w:rPr>
            </w:pPr>
            <w:r w:rsidRPr="006E0610">
              <w:rPr>
                <w:color w:val="000000"/>
                <w:sz w:val="20"/>
                <w:szCs w:val="20"/>
              </w:rPr>
              <w:t>post-commitment</w:t>
            </w:r>
          </w:p>
        </w:tc>
        <w:tc>
          <w:tcPr>
            <w:tcW w:w="1582" w:type="dxa"/>
            <w:vMerge/>
            <w:tcBorders>
              <w:top w:val="nil"/>
              <w:left w:val="nil"/>
              <w:bottom w:val="single" w:sz="4" w:space="0" w:color="000000"/>
              <w:right w:val="nil"/>
            </w:tcBorders>
            <w:vAlign w:val="center"/>
            <w:hideMark/>
          </w:tcPr>
          <w:p w14:paraId="11085157" w14:textId="77777777" w:rsidR="00C472B2" w:rsidRPr="00C472B2" w:rsidRDefault="00C472B2" w:rsidP="00377A6F">
            <w:pPr>
              <w:rPr>
                <w:color w:val="000000"/>
                <w:sz w:val="22"/>
                <w:szCs w:val="22"/>
              </w:rPr>
            </w:pPr>
          </w:p>
        </w:tc>
      </w:tr>
      <w:tr w:rsidR="00C472B2" w:rsidRPr="00C472B2" w14:paraId="216258EF" w14:textId="77777777" w:rsidTr="00180692">
        <w:trPr>
          <w:trHeight w:val="381"/>
          <w:jc w:val="center"/>
        </w:trPr>
        <w:tc>
          <w:tcPr>
            <w:tcW w:w="1862" w:type="dxa"/>
            <w:vMerge/>
            <w:tcBorders>
              <w:top w:val="nil"/>
              <w:left w:val="nil"/>
              <w:bottom w:val="single" w:sz="4" w:space="0" w:color="000000"/>
              <w:right w:val="nil"/>
            </w:tcBorders>
            <w:vAlign w:val="center"/>
            <w:hideMark/>
          </w:tcPr>
          <w:p w14:paraId="367A787F" w14:textId="77777777" w:rsidR="00C472B2" w:rsidRPr="00C472B2" w:rsidRDefault="00C472B2" w:rsidP="00377A6F">
            <w:pPr>
              <w:rPr>
                <w:color w:val="000000"/>
                <w:sz w:val="22"/>
                <w:szCs w:val="22"/>
              </w:rPr>
            </w:pPr>
          </w:p>
        </w:tc>
        <w:tc>
          <w:tcPr>
            <w:tcW w:w="2141" w:type="dxa"/>
            <w:vMerge/>
            <w:tcBorders>
              <w:top w:val="nil"/>
              <w:left w:val="nil"/>
              <w:bottom w:val="single" w:sz="4" w:space="0" w:color="000000"/>
              <w:right w:val="nil"/>
            </w:tcBorders>
            <w:vAlign w:val="center"/>
            <w:hideMark/>
          </w:tcPr>
          <w:p w14:paraId="136D7E36" w14:textId="77777777" w:rsidR="00C472B2" w:rsidRPr="00C472B2" w:rsidRDefault="00C472B2" w:rsidP="00377A6F">
            <w:pPr>
              <w:rPr>
                <w:color w:val="000000"/>
                <w:sz w:val="22"/>
                <w:szCs w:val="22"/>
              </w:rPr>
            </w:pPr>
          </w:p>
        </w:tc>
        <w:tc>
          <w:tcPr>
            <w:tcW w:w="1862" w:type="dxa"/>
            <w:vMerge/>
            <w:tcBorders>
              <w:top w:val="nil"/>
              <w:left w:val="nil"/>
              <w:bottom w:val="single" w:sz="4" w:space="0" w:color="000000"/>
              <w:right w:val="nil"/>
            </w:tcBorders>
            <w:vAlign w:val="center"/>
            <w:hideMark/>
          </w:tcPr>
          <w:p w14:paraId="6A8FA625" w14:textId="77777777" w:rsidR="00C472B2" w:rsidRPr="00C472B2" w:rsidRDefault="00C472B2" w:rsidP="00377A6F">
            <w:pPr>
              <w:rPr>
                <w:color w:val="000000"/>
                <w:sz w:val="22"/>
                <w:szCs w:val="22"/>
              </w:rPr>
            </w:pPr>
          </w:p>
        </w:tc>
        <w:tc>
          <w:tcPr>
            <w:tcW w:w="1675" w:type="dxa"/>
            <w:vMerge/>
            <w:tcBorders>
              <w:top w:val="nil"/>
              <w:left w:val="nil"/>
              <w:bottom w:val="single" w:sz="4" w:space="0" w:color="000000"/>
              <w:right w:val="nil"/>
            </w:tcBorders>
            <w:vAlign w:val="center"/>
            <w:hideMark/>
          </w:tcPr>
          <w:p w14:paraId="23E5D30D" w14:textId="77777777" w:rsidR="00C472B2" w:rsidRPr="00C472B2" w:rsidRDefault="00C472B2" w:rsidP="00377A6F">
            <w:pPr>
              <w:rPr>
                <w:color w:val="000000"/>
                <w:sz w:val="22"/>
                <w:szCs w:val="22"/>
              </w:rPr>
            </w:pPr>
          </w:p>
        </w:tc>
        <w:tc>
          <w:tcPr>
            <w:tcW w:w="1675" w:type="dxa"/>
            <w:vMerge/>
            <w:tcBorders>
              <w:top w:val="nil"/>
              <w:left w:val="nil"/>
              <w:bottom w:val="single" w:sz="4" w:space="0" w:color="000000"/>
              <w:right w:val="nil"/>
            </w:tcBorders>
            <w:vAlign w:val="center"/>
            <w:hideMark/>
          </w:tcPr>
          <w:p w14:paraId="42DE6BFE" w14:textId="77777777" w:rsidR="00C472B2" w:rsidRPr="00C472B2" w:rsidRDefault="00C472B2" w:rsidP="00377A6F">
            <w:pPr>
              <w:rPr>
                <w:color w:val="000000"/>
                <w:sz w:val="22"/>
                <w:szCs w:val="22"/>
              </w:rPr>
            </w:pPr>
          </w:p>
        </w:tc>
        <w:tc>
          <w:tcPr>
            <w:tcW w:w="1582" w:type="dxa"/>
            <w:vMerge/>
            <w:tcBorders>
              <w:top w:val="nil"/>
              <w:left w:val="nil"/>
              <w:bottom w:val="single" w:sz="4" w:space="0" w:color="000000"/>
              <w:right w:val="nil"/>
            </w:tcBorders>
            <w:vAlign w:val="center"/>
            <w:hideMark/>
          </w:tcPr>
          <w:p w14:paraId="69E1DA0B" w14:textId="77777777" w:rsidR="00C472B2" w:rsidRPr="00C472B2" w:rsidRDefault="00C472B2" w:rsidP="00377A6F">
            <w:pPr>
              <w:rPr>
                <w:color w:val="000000"/>
                <w:sz w:val="22"/>
                <w:szCs w:val="22"/>
              </w:rPr>
            </w:pPr>
          </w:p>
        </w:tc>
      </w:tr>
      <w:tr w:rsidR="00C472B2" w:rsidRPr="00C472B2" w14:paraId="5BB1E21E" w14:textId="77777777" w:rsidTr="00CC3C10">
        <w:trPr>
          <w:trHeight w:val="344"/>
          <w:jc w:val="center"/>
        </w:trPr>
        <w:tc>
          <w:tcPr>
            <w:tcW w:w="1862" w:type="dxa"/>
            <w:vMerge w:val="restart"/>
            <w:tcBorders>
              <w:top w:val="nil"/>
              <w:left w:val="nil"/>
              <w:bottom w:val="nil"/>
              <w:right w:val="nil"/>
            </w:tcBorders>
            <w:shd w:val="clear" w:color="000000" w:fill="F2F2F2"/>
            <w:noWrap/>
            <w:vAlign w:val="center"/>
            <w:hideMark/>
          </w:tcPr>
          <w:p w14:paraId="1CAF22F8" w14:textId="77777777" w:rsidR="00CC3C10" w:rsidRDefault="00C472B2" w:rsidP="00377A6F">
            <w:pPr>
              <w:jc w:val="center"/>
              <w:rPr>
                <w:color w:val="000000"/>
                <w:sz w:val="21"/>
                <w:szCs w:val="21"/>
              </w:rPr>
            </w:pPr>
            <w:r w:rsidRPr="00C472B2">
              <w:rPr>
                <w:color w:val="000000"/>
                <w:sz w:val="21"/>
                <w:szCs w:val="21"/>
              </w:rPr>
              <w:t xml:space="preserve">Scenario 1 </w:t>
            </w:r>
          </w:p>
          <w:p w14:paraId="54FA9EFE" w14:textId="59C604B3" w:rsidR="00C472B2" w:rsidRPr="00C472B2" w:rsidRDefault="00C472B2" w:rsidP="00377A6F">
            <w:pPr>
              <w:jc w:val="center"/>
              <w:rPr>
                <w:color w:val="000000"/>
                <w:sz w:val="21"/>
                <w:szCs w:val="21"/>
              </w:rPr>
            </w:pPr>
            <w:r w:rsidRPr="00C472B2">
              <w:rPr>
                <w:color w:val="000000"/>
                <w:sz w:val="21"/>
                <w:szCs w:val="21"/>
              </w:rPr>
              <w:t>(Award)</w:t>
            </w:r>
          </w:p>
        </w:tc>
        <w:tc>
          <w:tcPr>
            <w:tcW w:w="2141" w:type="dxa"/>
            <w:tcBorders>
              <w:top w:val="nil"/>
              <w:left w:val="nil"/>
              <w:bottom w:val="nil"/>
              <w:right w:val="nil"/>
            </w:tcBorders>
            <w:shd w:val="clear" w:color="000000" w:fill="F2F2F2"/>
            <w:noWrap/>
            <w:vAlign w:val="center"/>
            <w:hideMark/>
          </w:tcPr>
          <w:p w14:paraId="2DB24BC5" w14:textId="77777777" w:rsidR="00C472B2" w:rsidRPr="00C472B2" w:rsidRDefault="00C472B2" w:rsidP="00377A6F">
            <w:pPr>
              <w:jc w:val="center"/>
              <w:rPr>
                <w:color w:val="000000"/>
                <w:sz w:val="21"/>
                <w:szCs w:val="21"/>
              </w:rPr>
            </w:pPr>
            <w:r w:rsidRPr="00C472B2">
              <w:rPr>
                <w:color w:val="000000"/>
                <w:sz w:val="21"/>
                <w:szCs w:val="21"/>
              </w:rPr>
              <w:t>Original Wording</w:t>
            </w:r>
          </w:p>
        </w:tc>
        <w:tc>
          <w:tcPr>
            <w:tcW w:w="1862" w:type="dxa"/>
            <w:tcBorders>
              <w:top w:val="nil"/>
              <w:left w:val="nil"/>
              <w:bottom w:val="nil"/>
              <w:right w:val="nil"/>
            </w:tcBorders>
            <w:shd w:val="clear" w:color="000000" w:fill="F2F2F2"/>
            <w:noWrap/>
            <w:vAlign w:val="center"/>
            <w:hideMark/>
          </w:tcPr>
          <w:p w14:paraId="2C1181B6" w14:textId="77777777" w:rsidR="00C472B2" w:rsidRPr="00C472B2" w:rsidRDefault="00C472B2" w:rsidP="00377A6F">
            <w:pPr>
              <w:jc w:val="center"/>
              <w:rPr>
                <w:color w:val="000000"/>
                <w:sz w:val="22"/>
                <w:szCs w:val="22"/>
              </w:rPr>
            </w:pPr>
            <w:r w:rsidRPr="00C472B2">
              <w:rPr>
                <w:color w:val="000000"/>
                <w:sz w:val="22"/>
                <w:szCs w:val="22"/>
              </w:rPr>
              <w:t>0.55 (0.87)</w:t>
            </w:r>
          </w:p>
        </w:tc>
        <w:tc>
          <w:tcPr>
            <w:tcW w:w="1675" w:type="dxa"/>
            <w:tcBorders>
              <w:top w:val="nil"/>
              <w:left w:val="nil"/>
              <w:bottom w:val="nil"/>
              <w:right w:val="nil"/>
            </w:tcBorders>
            <w:shd w:val="clear" w:color="000000" w:fill="F2F2F2"/>
            <w:noWrap/>
            <w:vAlign w:val="center"/>
            <w:hideMark/>
          </w:tcPr>
          <w:p w14:paraId="36A9DEFC" w14:textId="77777777" w:rsidR="00C472B2" w:rsidRPr="00C472B2" w:rsidRDefault="00C472B2" w:rsidP="00377A6F">
            <w:pPr>
              <w:jc w:val="center"/>
              <w:rPr>
                <w:color w:val="000000"/>
                <w:sz w:val="22"/>
                <w:szCs w:val="22"/>
              </w:rPr>
            </w:pPr>
            <w:r w:rsidRPr="00C472B2">
              <w:rPr>
                <w:color w:val="000000"/>
                <w:sz w:val="22"/>
                <w:szCs w:val="22"/>
              </w:rPr>
              <w:t>0.31 (0.90)</w:t>
            </w:r>
          </w:p>
        </w:tc>
        <w:tc>
          <w:tcPr>
            <w:tcW w:w="1675" w:type="dxa"/>
            <w:tcBorders>
              <w:top w:val="nil"/>
              <w:left w:val="nil"/>
              <w:bottom w:val="nil"/>
              <w:right w:val="nil"/>
            </w:tcBorders>
            <w:shd w:val="clear" w:color="000000" w:fill="F2F2F2"/>
            <w:noWrap/>
            <w:vAlign w:val="center"/>
            <w:hideMark/>
          </w:tcPr>
          <w:p w14:paraId="2DDC4868" w14:textId="77777777" w:rsidR="00C472B2" w:rsidRPr="00C472B2" w:rsidRDefault="00C472B2" w:rsidP="00377A6F">
            <w:pPr>
              <w:jc w:val="center"/>
              <w:rPr>
                <w:color w:val="000000"/>
                <w:sz w:val="22"/>
                <w:szCs w:val="22"/>
              </w:rPr>
            </w:pPr>
            <w:r w:rsidRPr="00C472B2">
              <w:rPr>
                <w:color w:val="000000"/>
                <w:sz w:val="22"/>
                <w:szCs w:val="22"/>
              </w:rPr>
              <w:t>0.58 (0.85)</w:t>
            </w:r>
          </w:p>
        </w:tc>
        <w:tc>
          <w:tcPr>
            <w:tcW w:w="1582" w:type="dxa"/>
            <w:tcBorders>
              <w:top w:val="single" w:sz="4" w:space="0" w:color="auto"/>
              <w:left w:val="nil"/>
              <w:bottom w:val="nil"/>
              <w:right w:val="nil"/>
            </w:tcBorders>
            <w:shd w:val="clear" w:color="000000" w:fill="F2F2F2"/>
            <w:noWrap/>
            <w:vAlign w:val="center"/>
            <w:hideMark/>
          </w:tcPr>
          <w:p w14:paraId="76D295F8" w14:textId="77777777" w:rsidR="00C472B2" w:rsidRPr="00C472B2" w:rsidRDefault="00C472B2" w:rsidP="00377A6F">
            <w:pPr>
              <w:jc w:val="center"/>
              <w:rPr>
                <w:color w:val="000000"/>
                <w:sz w:val="22"/>
                <w:szCs w:val="22"/>
              </w:rPr>
            </w:pPr>
            <w:r w:rsidRPr="00C472B2">
              <w:rPr>
                <w:color w:val="000000"/>
                <w:sz w:val="22"/>
                <w:szCs w:val="22"/>
              </w:rPr>
              <w:t>0.48</w:t>
            </w:r>
          </w:p>
        </w:tc>
      </w:tr>
      <w:tr w:rsidR="00C472B2" w:rsidRPr="00C472B2" w14:paraId="4FEDC1EA" w14:textId="77777777" w:rsidTr="00931A48">
        <w:trPr>
          <w:trHeight w:val="156"/>
          <w:jc w:val="center"/>
        </w:trPr>
        <w:tc>
          <w:tcPr>
            <w:tcW w:w="1862" w:type="dxa"/>
            <w:vMerge/>
            <w:tcBorders>
              <w:top w:val="nil"/>
              <w:left w:val="nil"/>
              <w:bottom w:val="nil"/>
              <w:right w:val="nil"/>
            </w:tcBorders>
            <w:vAlign w:val="center"/>
            <w:hideMark/>
          </w:tcPr>
          <w:p w14:paraId="523C853E" w14:textId="77777777" w:rsidR="00C472B2" w:rsidRPr="00C472B2" w:rsidRDefault="00C472B2" w:rsidP="00377A6F">
            <w:pPr>
              <w:rPr>
                <w:color w:val="000000"/>
                <w:sz w:val="21"/>
                <w:szCs w:val="21"/>
              </w:rPr>
            </w:pPr>
          </w:p>
        </w:tc>
        <w:tc>
          <w:tcPr>
            <w:tcW w:w="2141" w:type="dxa"/>
            <w:tcBorders>
              <w:top w:val="nil"/>
              <w:left w:val="nil"/>
              <w:bottom w:val="nil"/>
              <w:right w:val="nil"/>
            </w:tcBorders>
            <w:shd w:val="clear" w:color="000000" w:fill="F2F2F2"/>
            <w:noWrap/>
            <w:vAlign w:val="center"/>
            <w:hideMark/>
          </w:tcPr>
          <w:p w14:paraId="76D08E63" w14:textId="2F051554" w:rsidR="00C472B2" w:rsidRPr="00C472B2" w:rsidRDefault="00EA2A9B" w:rsidP="00377A6F">
            <w:pPr>
              <w:jc w:val="center"/>
              <w:rPr>
                <w:color w:val="000000"/>
                <w:sz w:val="21"/>
                <w:szCs w:val="21"/>
              </w:rPr>
            </w:pPr>
            <w:r>
              <w:rPr>
                <w:color w:val="000000"/>
                <w:sz w:val="21"/>
                <w:szCs w:val="21"/>
              </w:rPr>
              <w:t>Estimation</w:t>
            </w:r>
            <w:r w:rsidRPr="00C472B2">
              <w:rPr>
                <w:color w:val="000000"/>
                <w:sz w:val="21"/>
                <w:szCs w:val="21"/>
              </w:rPr>
              <w:t xml:space="preserve"> </w:t>
            </w:r>
            <w:r w:rsidR="00C472B2" w:rsidRPr="00C472B2">
              <w:rPr>
                <w:color w:val="000000"/>
                <w:sz w:val="21"/>
                <w:szCs w:val="21"/>
              </w:rPr>
              <w:t>Wording</w:t>
            </w:r>
          </w:p>
        </w:tc>
        <w:tc>
          <w:tcPr>
            <w:tcW w:w="1862" w:type="dxa"/>
            <w:tcBorders>
              <w:top w:val="nil"/>
              <w:left w:val="nil"/>
              <w:bottom w:val="nil"/>
              <w:right w:val="nil"/>
            </w:tcBorders>
            <w:shd w:val="clear" w:color="000000" w:fill="F2F2F2"/>
            <w:noWrap/>
            <w:vAlign w:val="center"/>
            <w:hideMark/>
          </w:tcPr>
          <w:p w14:paraId="39F35743" w14:textId="77777777" w:rsidR="00C472B2" w:rsidRPr="00C472B2" w:rsidRDefault="00C472B2" w:rsidP="00377A6F">
            <w:pPr>
              <w:jc w:val="center"/>
              <w:rPr>
                <w:color w:val="000000"/>
                <w:sz w:val="22"/>
                <w:szCs w:val="22"/>
              </w:rPr>
            </w:pPr>
            <w:r w:rsidRPr="00C472B2">
              <w:rPr>
                <w:color w:val="000000"/>
                <w:sz w:val="22"/>
                <w:szCs w:val="22"/>
              </w:rPr>
              <w:t>-0.44 (0.72)</w:t>
            </w:r>
          </w:p>
        </w:tc>
        <w:tc>
          <w:tcPr>
            <w:tcW w:w="1675" w:type="dxa"/>
            <w:tcBorders>
              <w:top w:val="nil"/>
              <w:left w:val="nil"/>
              <w:bottom w:val="nil"/>
              <w:right w:val="nil"/>
            </w:tcBorders>
            <w:shd w:val="clear" w:color="000000" w:fill="F2F2F2"/>
            <w:noWrap/>
            <w:vAlign w:val="center"/>
            <w:hideMark/>
          </w:tcPr>
          <w:p w14:paraId="47678360" w14:textId="77777777" w:rsidR="00C472B2" w:rsidRPr="00C472B2" w:rsidRDefault="00C472B2" w:rsidP="00377A6F">
            <w:pPr>
              <w:jc w:val="center"/>
              <w:rPr>
                <w:color w:val="000000"/>
                <w:sz w:val="22"/>
                <w:szCs w:val="22"/>
              </w:rPr>
            </w:pPr>
            <w:r w:rsidRPr="00C472B2">
              <w:rPr>
                <w:color w:val="000000"/>
                <w:sz w:val="22"/>
                <w:szCs w:val="22"/>
              </w:rPr>
              <w:t>-0.55 (0.63)</w:t>
            </w:r>
          </w:p>
        </w:tc>
        <w:tc>
          <w:tcPr>
            <w:tcW w:w="1675" w:type="dxa"/>
            <w:tcBorders>
              <w:top w:val="nil"/>
              <w:left w:val="nil"/>
              <w:bottom w:val="nil"/>
              <w:right w:val="nil"/>
            </w:tcBorders>
            <w:shd w:val="clear" w:color="000000" w:fill="F2F2F2"/>
            <w:noWrap/>
            <w:vAlign w:val="center"/>
            <w:hideMark/>
          </w:tcPr>
          <w:p w14:paraId="6927D223" w14:textId="77777777" w:rsidR="00C472B2" w:rsidRPr="00C472B2" w:rsidRDefault="00C472B2" w:rsidP="00377A6F">
            <w:pPr>
              <w:jc w:val="center"/>
              <w:rPr>
                <w:color w:val="000000"/>
                <w:sz w:val="22"/>
                <w:szCs w:val="22"/>
              </w:rPr>
            </w:pPr>
            <w:r w:rsidRPr="00C472B2">
              <w:rPr>
                <w:color w:val="000000"/>
                <w:sz w:val="22"/>
                <w:szCs w:val="22"/>
              </w:rPr>
              <w:t>-0.49 (0.74)</w:t>
            </w:r>
          </w:p>
        </w:tc>
        <w:tc>
          <w:tcPr>
            <w:tcW w:w="1582" w:type="dxa"/>
            <w:tcBorders>
              <w:top w:val="nil"/>
              <w:left w:val="nil"/>
              <w:bottom w:val="nil"/>
              <w:right w:val="nil"/>
            </w:tcBorders>
            <w:shd w:val="clear" w:color="000000" w:fill="F2F2F2"/>
            <w:noWrap/>
            <w:vAlign w:val="center"/>
            <w:hideMark/>
          </w:tcPr>
          <w:p w14:paraId="37B587DE" w14:textId="77777777" w:rsidR="00C472B2" w:rsidRPr="00C472B2" w:rsidRDefault="00C472B2" w:rsidP="00377A6F">
            <w:pPr>
              <w:jc w:val="center"/>
              <w:rPr>
                <w:color w:val="000000"/>
                <w:sz w:val="22"/>
                <w:szCs w:val="22"/>
              </w:rPr>
            </w:pPr>
            <w:r w:rsidRPr="00C472B2">
              <w:rPr>
                <w:color w:val="000000"/>
                <w:sz w:val="22"/>
                <w:szCs w:val="22"/>
              </w:rPr>
              <w:t>-0.49</w:t>
            </w:r>
          </w:p>
        </w:tc>
      </w:tr>
      <w:tr w:rsidR="00C472B2" w:rsidRPr="00C472B2" w14:paraId="732EE90A" w14:textId="77777777" w:rsidTr="004D00D7">
        <w:trPr>
          <w:trHeight w:val="264"/>
          <w:jc w:val="center"/>
        </w:trPr>
        <w:tc>
          <w:tcPr>
            <w:tcW w:w="1862" w:type="dxa"/>
            <w:vMerge w:val="restart"/>
            <w:tcBorders>
              <w:top w:val="nil"/>
              <w:left w:val="nil"/>
              <w:bottom w:val="nil"/>
              <w:right w:val="nil"/>
            </w:tcBorders>
            <w:shd w:val="clear" w:color="000000" w:fill="FFFFFF"/>
            <w:noWrap/>
            <w:vAlign w:val="center"/>
            <w:hideMark/>
          </w:tcPr>
          <w:p w14:paraId="6F351D59" w14:textId="77777777" w:rsidR="00C472B2" w:rsidRPr="00C472B2" w:rsidRDefault="00C472B2" w:rsidP="00377A6F">
            <w:pPr>
              <w:jc w:val="center"/>
              <w:rPr>
                <w:color w:val="000000"/>
                <w:sz w:val="21"/>
                <w:szCs w:val="21"/>
              </w:rPr>
            </w:pPr>
            <w:r w:rsidRPr="00C472B2">
              <w:rPr>
                <w:color w:val="000000"/>
                <w:sz w:val="21"/>
                <w:szCs w:val="21"/>
              </w:rPr>
              <w:t>Scenario 2 (Surgery)</w:t>
            </w:r>
          </w:p>
        </w:tc>
        <w:tc>
          <w:tcPr>
            <w:tcW w:w="2141" w:type="dxa"/>
            <w:tcBorders>
              <w:top w:val="nil"/>
              <w:left w:val="nil"/>
              <w:bottom w:val="nil"/>
              <w:right w:val="nil"/>
            </w:tcBorders>
            <w:shd w:val="clear" w:color="000000" w:fill="FFFFFF"/>
            <w:noWrap/>
            <w:vAlign w:val="center"/>
            <w:hideMark/>
          </w:tcPr>
          <w:p w14:paraId="63B3DC63" w14:textId="77777777" w:rsidR="00C472B2" w:rsidRPr="00C472B2" w:rsidRDefault="00C472B2" w:rsidP="00377A6F">
            <w:pPr>
              <w:jc w:val="center"/>
              <w:rPr>
                <w:color w:val="000000"/>
                <w:sz w:val="21"/>
                <w:szCs w:val="21"/>
              </w:rPr>
            </w:pPr>
            <w:r w:rsidRPr="00C472B2">
              <w:rPr>
                <w:color w:val="000000"/>
                <w:sz w:val="21"/>
                <w:szCs w:val="21"/>
              </w:rPr>
              <w:t>Original Wording</w:t>
            </w:r>
          </w:p>
        </w:tc>
        <w:tc>
          <w:tcPr>
            <w:tcW w:w="1862" w:type="dxa"/>
            <w:tcBorders>
              <w:top w:val="nil"/>
              <w:left w:val="nil"/>
              <w:bottom w:val="nil"/>
              <w:right w:val="nil"/>
            </w:tcBorders>
            <w:shd w:val="clear" w:color="000000" w:fill="FFFFFF"/>
            <w:noWrap/>
            <w:vAlign w:val="center"/>
            <w:hideMark/>
          </w:tcPr>
          <w:p w14:paraId="061AA1F4" w14:textId="77777777" w:rsidR="00C472B2" w:rsidRPr="00C472B2" w:rsidRDefault="00C472B2" w:rsidP="00377A6F">
            <w:pPr>
              <w:jc w:val="center"/>
              <w:rPr>
                <w:color w:val="000000"/>
                <w:sz w:val="22"/>
                <w:szCs w:val="22"/>
              </w:rPr>
            </w:pPr>
            <w:r w:rsidRPr="00C472B2">
              <w:rPr>
                <w:color w:val="000000"/>
                <w:sz w:val="22"/>
                <w:szCs w:val="22"/>
              </w:rPr>
              <w:t>0.65 (0.95)</w:t>
            </w:r>
          </w:p>
        </w:tc>
        <w:tc>
          <w:tcPr>
            <w:tcW w:w="1675" w:type="dxa"/>
            <w:tcBorders>
              <w:top w:val="nil"/>
              <w:left w:val="nil"/>
              <w:bottom w:val="nil"/>
              <w:right w:val="nil"/>
            </w:tcBorders>
            <w:shd w:val="clear" w:color="000000" w:fill="FFFFFF"/>
            <w:noWrap/>
            <w:vAlign w:val="center"/>
            <w:hideMark/>
          </w:tcPr>
          <w:p w14:paraId="46C3B4E7" w14:textId="77777777" w:rsidR="00C472B2" w:rsidRPr="00C472B2" w:rsidRDefault="00C472B2" w:rsidP="00377A6F">
            <w:pPr>
              <w:jc w:val="center"/>
              <w:rPr>
                <w:color w:val="000000"/>
                <w:sz w:val="22"/>
                <w:szCs w:val="22"/>
              </w:rPr>
            </w:pPr>
            <w:r w:rsidRPr="00C472B2">
              <w:rPr>
                <w:color w:val="000000"/>
                <w:sz w:val="22"/>
                <w:szCs w:val="22"/>
              </w:rPr>
              <w:t>0.67 (1.07)</w:t>
            </w:r>
          </w:p>
        </w:tc>
        <w:tc>
          <w:tcPr>
            <w:tcW w:w="1675" w:type="dxa"/>
            <w:tcBorders>
              <w:top w:val="nil"/>
              <w:left w:val="nil"/>
              <w:bottom w:val="nil"/>
              <w:right w:val="nil"/>
            </w:tcBorders>
            <w:shd w:val="clear" w:color="000000" w:fill="FFFFFF"/>
            <w:noWrap/>
            <w:vAlign w:val="center"/>
            <w:hideMark/>
          </w:tcPr>
          <w:p w14:paraId="5CFFE2A6" w14:textId="77777777" w:rsidR="00C472B2" w:rsidRPr="00C472B2" w:rsidRDefault="00C472B2" w:rsidP="00377A6F">
            <w:pPr>
              <w:jc w:val="center"/>
              <w:rPr>
                <w:color w:val="000000"/>
                <w:sz w:val="22"/>
                <w:szCs w:val="22"/>
              </w:rPr>
            </w:pPr>
            <w:r w:rsidRPr="00C472B2">
              <w:rPr>
                <w:color w:val="000000"/>
                <w:sz w:val="22"/>
                <w:szCs w:val="22"/>
              </w:rPr>
              <w:t>0.47 (1.14)</w:t>
            </w:r>
          </w:p>
        </w:tc>
        <w:tc>
          <w:tcPr>
            <w:tcW w:w="1582" w:type="dxa"/>
            <w:tcBorders>
              <w:top w:val="nil"/>
              <w:left w:val="nil"/>
              <w:bottom w:val="nil"/>
              <w:right w:val="nil"/>
            </w:tcBorders>
            <w:shd w:val="clear" w:color="000000" w:fill="FFFFFF"/>
            <w:noWrap/>
            <w:vAlign w:val="center"/>
            <w:hideMark/>
          </w:tcPr>
          <w:p w14:paraId="5FA6E740" w14:textId="77777777" w:rsidR="00C472B2" w:rsidRPr="00C472B2" w:rsidRDefault="00C472B2" w:rsidP="00377A6F">
            <w:pPr>
              <w:jc w:val="center"/>
              <w:rPr>
                <w:color w:val="000000"/>
                <w:sz w:val="22"/>
                <w:szCs w:val="22"/>
              </w:rPr>
            </w:pPr>
            <w:r w:rsidRPr="00C472B2">
              <w:rPr>
                <w:color w:val="000000"/>
                <w:sz w:val="22"/>
                <w:szCs w:val="22"/>
              </w:rPr>
              <w:t>0.60</w:t>
            </w:r>
          </w:p>
        </w:tc>
      </w:tr>
      <w:tr w:rsidR="00C472B2" w:rsidRPr="00C472B2" w14:paraId="5CE0DC89" w14:textId="77777777" w:rsidTr="00180692">
        <w:trPr>
          <w:trHeight w:val="219"/>
          <w:jc w:val="center"/>
        </w:trPr>
        <w:tc>
          <w:tcPr>
            <w:tcW w:w="1862" w:type="dxa"/>
            <w:vMerge/>
            <w:tcBorders>
              <w:top w:val="nil"/>
              <w:left w:val="nil"/>
              <w:bottom w:val="nil"/>
              <w:right w:val="nil"/>
            </w:tcBorders>
            <w:vAlign w:val="center"/>
            <w:hideMark/>
          </w:tcPr>
          <w:p w14:paraId="69AF2C07" w14:textId="77777777" w:rsidR="00C472B2" w:rsidRPr="00C472B2" w:rsidRDefault="00C472B2" w:rsidP="00377A6F">
            <w:pPr>
              <w:rPr>
                <w:color w:val="000000"/>
                <w:sz w:val="21"/>
                <w:szCs w:val="21"/>
              </w:rPr>
            </w:pPr>
          </w:p>
        </w:tc>
        <w:tc>
          <w:tcPr>
            <w:tcW w:w="2141" w:type="dxa"/>
            <w:tcBorders>
              <w:top w:val="nil"/>
              <w:left w:val="nil"/>
              <w:bottom w:val="nil"/>
              <w:right w:val="nil"/>
            </w:tcBorders>
            <w:shd w:val="clear" w:color="000000" w:fill="FFFFFF"/>
            <w:noWrap/>
            <w:vAlign w:val="center"/>
            <w:hideMark/>
          </w:tcPr>
          <w:p w14:paraId="0038EB14" w14:textId="71100A62" w:rsidR="00C472B2" w:rsidRPr="00C472B2" w:rsidRDefault="00EA2A9B" w:rsidP="00377A6F">
            <w:pPr>
              <w:jc w:val="center"/>
              <w:rPr>
                <w:color w:val="000000"/>
                <w:sz w:val="21"/>
                <w:szCs w:val="21"/>
              </w:rPr>
            </w:pPr>
            <w:r>
              <w:rPr>
                <w:color w:val="000000"/>
                <w:sz w:val="21"/>
                <w:szCs w:val="21"/>
              </w:rPr>
              <w:t>Estimation</w:t>
            </w:r>
            <w:r w:rsidRPr="00C472B2">
              <w:rPr>
                <w:color w:val="000000"/>
                <w:sz w:val="21"/>
                <w:szCs w:val="21"/>
              </w:rPr>
              <w:t xml:space="preserve"> </w:t>
            </w:r>
            <w:r w:rsidR="00C472B2" w:rsidRPr="00C472B2">
              <w:rPr>
                <w:color w:val="000000"/>
                <w:sz w:val="21"/>
                <w:szCs w:val="21"/>
              </w:rPr>
              <w:t>Wording</w:t>
            </w:r>
          </w:p>
        </w:tc>
        <w:tc>
          <w:tcPr>
            <w:tcW w:w="1862" w:type="dxa"/>
            <w:tcBorders>
              <w:top w:val="nil"/>
              <w:left w:val="nil"/>
              <w:bottom w:val="nil"/>
              <w:right w:val="nil"/>
            </w:tcBorders>
            <w:shd w:val="clear" w:color="000000" w:fill="FFFFFF"/>
            <w:noWrap/>
            <w:vAlign w:val="center"/>
            <w:hideMark/>
          </w:tcPr>
          <w:p w14:paraId="229F0C46" w14:textId="77777777" w:rsidR="00C472B2" w:rsidRPr="00C472B2" w:rsidRDefault="00C472B2" w:rsidP="00377A6F">
            <w:pPr>
              <w:jc w:val="center"/>
              <w:rPr>
                <w:color w:val="000000"/>
                <w:sz w:val="22"/>
                <w:szCs w:val="22"/>
              </w:rPr>
            </w:pPr>
            <w:r w:rsidRPr="00C472B2">
              <w:rPr>
                <w:color w:val="000000"/>
                <w:sz w:val="22"/>
                <w:szCs w:val="22"/>
              </w:rPr>
              <w:t>-0.24 (0.99)</w:t>
            </w:r>
          </w:p>
        </w:tc>
        <w:tc>
          <w:tcPr>
            <w:tcW w:w="1675" w:type="dxa"/>
            <w:tcBorders>
              <w:top w:val="nil"/>
              <w:left w:val="nil"/>
              <w:bottom w:val="nil"/>
              <w:right w:val="nil"/>
            </w:tcBorders>
            <w:shd w:val="clear" w:color="000000" w:fill="FFFFFF"/>
            <w:noWrap/>
            <w:vAlign w:val="center"/>
            <w:hideMark/>
          </w:tcPr>
          <w:p w14:paraId="4AA6A123" w14:textId="77777777" w:rsidR="00C472B2" w:rsidRPr="00C472B2" w:rsidRDefault="00C472B2" w:rsidP="00377A6F">
            <w:pPr>
              <w:jc w:val="center"/>
              <w:rPr>
                <w:color w:val="000000"/>
                <w:sz w:val="22"/>
                <w:szCs w:val="22"/>
              </w:rPr>
            </w:pPr>
            <w:r w:rsidRPr="00C472B2">
              <w:rPr>
                <w:color w:val="000000"/>
                <w:sz w:val="22"/>
                <w:szCs w:val="22"/>
              </w:rPr>
              <w:t>-0.04 (1.03)</w:t>
            </w:r>
          </w:p>
        </w:tc>
        <w:tc>
          <w:tcPr>
            <w:tcW w:w="1675" w:type="dxa"/>
            <w:tcBorders>
              <w:top w:val="nil"/>
              <w:left w:val="nil"/>
              <w:bottom w:val="nil"/>
              <w:right w:val="nil"/>
            </w:tcBorders>
            <w:shd w:val="clear" w:color="000000" w:fill="FFFFFF"/>
            <w:noWrap/>
            <w:vAlign w:val="center"/>
            <w:hideMark/>
          </w:tcPr>
          <w:p w14:paraId="75809D6B" w14:textId="77777777" w:rsidR="00C472B2" w:rsidRPr="00C472B2" w:rsidRDefault="00C472B2" w:rsidP="00377A6F">
            <w:pPr>
              <w:jc w:val="center"/>
              <w:rPr>
                <w:color w:val="000000"/>
                <w:sz w:val="22"/>
                <w:szCs w:val="22"/>
              </w:rPr>
            </w:pPr>
            <w:r w:rsidRPr="00C472B2">
              <w:rPr>
                <w:color w:val="000000"/>
                <w:sz w:val="22"/>
                <w:szCs w:val="22"/>
              </w:rPr>
              <w:t>0.16 (1.07)</w:t>
            </w:r>
          </w:p>
        </w:tc>
        <w:tc>
          <w:tcPr>
            <w:tcW w:w="1582" w:type="dxa"/>
            <w:tcBorders>
              <w:top w:val="nil"/>
              <w:left w:val="nil"/>
              <w:bottom w:val="nil"/>
              <w:right w:val="nil"/>
            </w:tcBorders>
            <w:shd w:val="clear" w:color="000000" w:fill="FFFFFF"/>
            <w:noWrap/>
            <w:vAlign w:val="center"/>
            <w:hideMark/>
          </w:tcPr>
          <w:p w14:paraId="62240CAD" w14:textId="77777777" w:rsidR="00C472B2" w:rsidRPr="00C472B2" w:rsidRDefault="00C472B2" w:rsidP="00377A6F">
            <w:pPr>
              <w:jc w:val="center"/>
              <w:rPr>
                <w:color w:val="000000"/>
                <w:sz w:val="22"/>
                <w:szCs w:val="22"/>
              </w:rPr>
            </w:pPr>
            <w:r w:rsidRPr="00C472B2">
              <w:rPr>
                <w:color w:val="000000"/>
                <w:sz w:val="22"/>
                <w:szCs w:val="22"/>
              </w:rPr>
              <w:t>-0.04</w:t>
            </w:r>
          </w:p>
        </w:tc>
      </w:tr>
      <w:tr w:rsidR="00C472B2" w:rsidRPr="00C472B2" w14:paraId="523C68FA" w14:textId="77777777" w:rsidTr="00931A48">
        <w:trPr>
          <w:trHeight w:val="327"/>
          <w:jc w:val="center"/>
        </w:trPr>
        <w:tc>
          <w:tcPr>
            <w:tcW w:w="1862" w:type="dxa"/>
            <w:vMerge w:val="restart"/>
            <w:tcBorders>
              <w:top w:val="nil"/>
              <w:left w:val="nil"/>
              <w:bottom w:val="single" w:sz="4" w:space="0" w:color="000000"/>
              <w:right w:val="nil"/>
            </w:tcBorders>
            <w:shd w:val="clear" w:color="000000" w:fill="F2F2F2"/>
            <w:noWrap/>
            <w:vAlign w:val="center"/>
            <w:hideMark/>
          </w:tcPr>
          <w:p w14:paraId="39794943" w14:textId="77777777" w:rsidR="00C472B2" w:rsidRPr="00C472B2" w:rsidRDefault="00C472B2" w:rsidP="00377A6F">
            <w:pPr>
              <w:jc w:val="center"/>
              <w:rPr>
                <w:color w:val="000000"/>
                <w:sz w:val="21"/>
                <w:szCs w:val="21"/>
              </w:rPr>
            </w:pPr>
            <w:r w:rsidRPr="00C472B2">
              <w:rPr>
                <w:color w:val="000000"/>
                <w:sz w:val="21"/>
                <w:szCs w:val="21"/>
              </w:rPr>
              <w:t>Scenario 3 (Investment)</w:t>
            </w:r>
          </w:p>
        </w:tc>
        <w:tc>
          <w:tcPr>
            <w:tcW w:w="2141" w:type="dxa"/>
            <w:tcBorders>
              <w:top w:val="nil"/>
              <w:left w:val="nil"/>
              <w:bottom w:val="nil"/>
              <w:right w:val="nil"/>
            </w:tcBorders>
            <w:shd w:val="clear" w:color="000000" w:fill="F2F2F2"/>
            <w:noWrap/>
            <w:vAlign w:val="center"/>
            <w:hideMark/>
          </w:tcPr>
          <w:p w14:paraId="7CFC72D7" w14:textId="77777777" w:rsidR="00C472B2" w:rsidRPr="00C472B2" w:rsidRDefault="00C472B2" w:rsidP="00377A6F">
            <w:pPr>
              <w:jc w:val="center"/>
              <w:rPr>
                <w:color w:val="000000"/>
                <w:sz w:val="21"/>
                <w:szCs w:val="21"/>
              </w:rPr>
            </w:pPr>
            <w:r w:rsidRPr="00C472B2">
              <w:rPr>
                <w:color w:val="000000"/>
                <w:sz w:val="21"/>
                <w:szCs w:val="21"/>
              </w:rPr>
              <w:t>Original Wording</w:t>
            </w:r>
          </w:p>
        </w:tc>
        <w:tc>
          <w:tcPr>
            <w:tcW w:w="1862" w:type="dxa"/>
            <w:tcBorders>
              <w:top w:val="nil"/>
              <w:left w:val="nil"/>
              <w:bottom w:val="nil"/>
              <w:right w:val="nil"/>
            </w:tcBorders>
            <w:shd w:val="clear" w:color="000000" w:fill="F2F2F2"/>
            <w:noWrap/>
            <w:vAlign w:val="center"/>
            <w:hideMark/>
          </w:tcPr>
          <w:p w14:paraId="7BCEAAB2" w14:textId="77777777" w:rsidR="00C472B2" w:rsidRPr="00C472B2" w:rsidRDefault="00C472B2" w:rsidP="00377A6F">
            <w:pPr>
              <w:jc w:val="center"/>
              <w:rPr>
                <w:color w:val="000000"/>
                <w:sz w:val="22"/>
                <w:szCs w:val="22"/>
              </w:rPr>
            </w:pPr>
            <w:r w:rsidRPr="00C472B2">
              <w:rPr>
                <w:color w:val="000000"/>
                <w:sz w:val="22"/>
                <w:szCs w:val="22"/>
              </w:rPr>
              <w:t>-0.15 (0.83)</w:t>
            </w:r>
          </w:p>
        </w:tc>
        <w:tc>
          <w:tcPr>
            <w:tcW w:w="1675" w:type="dxa"/>
            <w:tcBorders>
              <w:top w:val="nil"/>
              <w:left w:val="nil"/>
              <w:bottom w:val="nil"/>
              <w:right w:val="nil"/>
            </w:tcBorders>
            <w:shd w:val="clear" w:color="000000" w:fill="F2F2F2"/>
            <w:noWrap/>
            <w:vAlign w:val="center"/>
            <w:hideMark/>
          </w:tcPr>
          <w:p w14:paraId="427773F6" w14:textId="77777777" w:rsidR="00C472B2" w:rsidRPr="00C472B2" w:rsidRDefault="00C472B2" w:rsidP="00377A6F">
            <w:pPr>
              <w:jc w:val="center"/>
              <w:rPr>
                <w:color w:val="000000"/>
                <w:sz w:val="22"/>
                <w:szCs w:val="22"/>
              </w:rPr>
            </w:pPr>
            <w:r w:rsidRPr="00C472B2">
              <w:rPr>
                <w:color w:val="000000"/>
                <w:sz w:val="22"/>
                <w:szCs w:val="22"/>
              </w:rPr>
              <w:t>0.04 (1.01)</w:t>
            </w:r>
          </w:p>
        </w:tc>
        <w:tc>
          <w:tcPr>
            <w:tcW w:w="1675" w:type="dxa"/>
            <w:tcBorders>
              <w:top w:val="nil"/>
              <w:left w:val="nil"/>
              <w:bottom w:val="nil"/>
              <w:right w:val="nil"/>
            </w:tcBorders>
            <w:shd w:val="clear" w:color="000000" w:fill="F2F2F2"/>
            <w:noWrap/>
            <w:vAlign w:val="center"/>
            <w:hideMark/>
          </w:tcPr>
          <w:p w14:paraId="7BA88399" w14:textId="77777777" w:rsidR="00C472B2" w:rsidRPr="00C472B2" w:rsidRDefault="00C472B2" w:rsidP="00377A6F">
            <w:pPr>
              <w:jc w:val="center"/>
              <w:rPr>
                <w:color w:val="000000"/>
                <w:sz w:val="22"/>
                <w:szCs w:val="22"/>
              </w:rPr>
            </w:pPr>
            <w:r w:rsidRPr="00C472B2">
              <w:rPr>
                <w:color w:val="000000"/>
                <w:sz w:val="22"/>
                <w:szCs w:val="22"/>
              </w:rPr>
              <w:t>0.21 (1.06)</w:t>
            </w:r>
          </w:p>
        </w:tc>
        <w:tc>
          <w:tcPr>
            <w:tcW w:w="1582" w:type="dxa"/>
            <w:tcBorders>
              <w:top w:val="nil"/>
              <w:left w:val="nil"/>
              <w:bottom w:val="nil"/>
              <w:right w:val="nil"/>
            </w:tcBorders>
            <w:shd w:val="clear" w:color="000000" w:fill="F2F2F2"/>
            <w:noWrap/>
            <w:vAlign w:val="center"/>
            <w:hideMark/>
          </w:tcPr>
          <w:p w14:paraId="0ACD7F9E" w14:textId="77777777" w:rsidR="00C472B2" w:rsidRPr="00C472B2" w:rsidRDefault="00C472B2" w:rsidP="00377A6F">
            <w:pPr>
              <w:jc w:val="center"/>
              <w:rPr>
                <w:color w:val="000000"/>
                <w:sz w:val="22"/>
                <w:szCs w:val="22"/>
              </w:rPr>
            </w:pPr>
            <w:r w:rsidRPr="00C472B2">
              <w:rPr>
                <w:color w:val="000000"/>
                <w:sz w:val="22"/>
                <w:szCs w:val="22"/>
              </w:rPr>
              <w:t>0.04</w:t>
            </w:r>
          </w:p>
        </w:tc>
      </w:tr>
      <w:tr w:rsidR="00C472B2" w:rsidRPr="00C472B2" w14:paraId="1D3227CF" w14:textId="77777777" w:rsidTr="00180692">
        <w:trPr>
          <w:trHeight w:val="273"/>
          <w:jc w:val="center"/>
        </w:trPr>
        <w:tc>
          <w:tcPr>
            <w:tcW w:w="1862" w:type="dxa"/>
            <w:vMerge/>
            <w:tcBorders>
              <w:top w:val="nil"/>
              <w:left w:val="nil"/>
              <w:bottom w:val="single" w:sz="4" w:space="0" w:color="000000"/>
              <w:right w:val="nil"/>
            </w:tcBorders>
            <w:vAlign w:val="center"/>
            <w:hideMark/>
          </w:tcPr>
          <w:p w14:paraId="72941150" w14:textId="77777777" w:rsidR="00C472B2" w:rsidRPr="00C472B2" w:rsidRDefault="00C472B2" w:rsidP="00377A6F">
            <w:pPr>
              <w:rPr>
                <w:color w:val="000000"/>
                <w:sz w:val="21"/>
                <w:szCs w:val="21"/>
              </w:rPr>
            </w:pPr>
          </w:p>
        </w:tc>
        <w:tc>
          <w:tcPr>
            <w:tcW w:w="2141" w:type="dxa"/>
            <w:tcBorders>
              <w:top w:val="nil"/>
              <w:left w:val="nil"/>
              <w:bottom w:val="single" w:sz="4" w:space="0" w:color="auto"/>
              <w:right w:val="nil"/>
            </w:tcBorders>
            <w:shd w:val="clear" w:color="000000" w:fill="F2F2F2"/>
            <w:noWrap/>
            <w:vAlign w:val="center"/>
            <w:hideMark/>
          </w:tcPr>
          <w:p w14:paraId="356929BE" w14:textId="0F6B4DC3" w:rsidR="00C472B2" w:rsidRPr="00C472B2" w:rsidRDefault="00EA2A9B" w:rsidP="00377A6F">
            <w:pPr>
              <w:jc w:val="center"/>
              <w:rPr>
                <w:color w:val="000000"/>
                <w:sz w:val="21"/>
                <w:szCs w:val="21"/>
              </w:rPr>
            </w:pPr>
            <w:r>
              <w:rPr>
                <w:color w:val="000000"/>
                <w:sz w:val="21"/>
                <w:szCs w:val="21"/>
              </w:rPr>
              <w:t>Estimation</w:t>
            </w:r>
            <w:r w:rsidRPr="00C472B2">
              <w:rPr>
                <w:color w:val="000000"/>
                <w:sz w:val="21"/>
                <w:szCs w:val="21"/>
              </w:rPr>
              <w:t xml:space="preserve"> </w:t>
            </w:r>
            <w:r w:rsidR="00C472B2" w:rsidRPr="00C472B2">
              <w:rPr>
                <w:color w:val="000000"/>
                <w:sz w:val="21"/>
                <w:szCs w:val="21"/>
              </w:rPr>
              <w:t>Wording</w:t>
            </w:r>
          </w:p>
        </w:tc>
        <w:tc>
          <w:tcPr>
            <w:tcW w:w="1862" w:type="dxa"/>
            <w:tcBorders>
              <w:top w:val="nil"/>
              <w:left w:val="nil"/>
              <w:bottom w:val="single" w:sz="4" w:space="0" w:color="auto"/>
              <w:right w:val="nil"/>
            </w:tcBorders>
            <w:shd w:val="clear" w:color="000000" w:fill="F2F2F2"/>
            <w:noWrap/>
            <w:vAlign w:val="center"/>
            <w:hideMark/>
          </w:tcPr>
          <w:p w14:paraId="1E732548" w14:textId="77777777" w:rsidR="00C472B2" w:rsidRPr="00C472B2" w:rsidRDefault="00C472B2" w:rsidP="00377A6F">
            <w:pPr>
              <w:jc w:val="center"/>
              <w:rPr>
                <w:color w:val="000000"/>
                <w:sz w:val="22"/>
                <w:szCs w:val="22"/>
              </w:rPr>
            </w:pPr>
            <w:r w:rsidRPr="00C472B2">
              <w:rPr>
                <w:color w:val="000000"/>
                <w:sz w:val="22"/>
                <w:szCs w:val="22"/>
              </w:rPr>
              <w:t>-0.07 (0.79)</w:t>
            </w:r>
          </w:p>
        </w:tc>
        <w:tc>
          <w:tcPr>
            <w:tcW w:w="1675" w:type="dxa"/>
            <w:tcBorders>
              <w:top w:val="nil"/>
              <w:left w:val="nil"/>
              <w:bottom w:val="single" w:sz="4" w:space="0" w:color="auto"/>
              <w:right w:val="nil"/>
            </w:tcBorders>
            <w:shd w:val="clear" w:color="000000" w:fill="F2F2F2"/>
            <w:noWrap/>
            <w:vAlign w:val="center"/>
            <w:hideMark/>
          </w:tcPr>
          <w:p w14:paraId="426A0B08" w14:textId="77777777" w:rsidR="00C472B2" w:rsidRPr="00C472B2" w:rsidRDefault="00C472B2" w:rsidP="00377A6F">
            <w:pPr>
              <w:jc w:val="center"/>
              <w:rPr>
                <w:color w:val="000000"/>
                <w:sz w:val="22"/>
                <w:szCs w:val="22"/>
              </w:rPr>
            </w:pPr>
            <w:r w:rsidRPr="00C472B2">
              <w:rPr>
                <w:color w:val="000000"/>
                <w:sz w:val="22"/>
                <w:szCs w:val="22"/>
              </w:rPr>
              <w:t>-0.24 (0.97)</w:t>
            </w:r>
          </w:p>
        </w:tc>
        <w:tc>
          <w:tcPr>
            <w:tcW w:w="1675" w:type="dxa"/>
            <w:tcBorders>
              <w:top w:val="nil"/>
              <w:left w:val="nil"/>
              <w:bottom w:val="single" w:sz="4" w:space="0" w:color="auto"/>
              <w:right w:val="nil"/>
            </w:tcBorders>
            <w:shd w:val="clear" w:color="000000" w:fill="F2F2F2"/>
            <w:noWrap/>
            <w:vAlign w:val="center"/>
            <w:hideMark/>
          </w:tcPr>
          <w:p w14:paraId="7935FD81" w14:textId="77777777" w:rsidR="00C472B2" w:rsidRPr="00C472B2" w:rsidRDefault="00C472B2" w:rsidP="00377A6F">
            <w:pPr>
              <w:jc w:val="center"/>
              <w:rPr>
                <w:color w:val="000000"/>
                <w:sz w:val="22"/>
                <w:szCs w:val="22"/>
              </w:rPr>
            </w:pPr>
            <w:r w:rsidRPr="00C472B2">
              <w:rPr>
                <w:color w:val="000000"/>
                <w:sz w:val="22"/>
                <w:szCs w:val="22"/>
              </w:rPr>
              <w:t>-0.19 (0.91)</w:t>
            </w:r>
          </w:p>
        </w:tc>
        <w:tc>
          <w:tcPr>
            <w:tcW w:w="1582" w:type="dxa"/>
            <w:tcBorders>
              <w:top w:val="nil"/>
              <w:left w:val="nil"/>
              <w:bottom w:val="single" w:sz="4" w:space="0" w:color="auto"/>
              <w:right w:val="nil"/>
            </w:tcBorders>
            <w:shd w:val="clear" w:color="000000" w:fill="F2F2F2"/>
            <w:noWrap/>
            <w:vAlign w:val="center"/>
            <w:hideMark/>
          </w:tcPr>
          <w:p w14:paraId="274B48A2" w14:textId="77777777" w:rsidR="00C472B2" w:rsidRPr="00C472B2" w:rsidRDefault="00C472B2" w:rsidP="00377A6F">
            <w:pPr>
              <w:jc w:val="center"/>
              <w:rPr>
                <w:color w:val="000000"/>
                <w:sz w:val="22"/>
                <w:szCs w:val="22"/>
              </w:rPr>
            </w:pPr>
            <w:r w:rsidRPr="00C472B2">
              <w:rPr>
                <w:color w:val="000000"/>
                <w:sz w:val="22"/>
                <w:szCs w:val="22"/>
              </w:rPr>
              <w:t>-0.17</w:t>
            </w:r>
          </w:p>
        </w:tc>
      </w:tr>
      <w:tr w:rsidR="00C472B2" w:rsidRPr="00C472B2" w14:paraId="6079C08D" w14:textId="77777777" w:rsidTr="00CC3C10">
        <w:trPr>
          <w:trHeight w:val="432"/>
          <w:jc w:val="center"/>
        </w:trPr>
        <w:tc>
          <w:tcPr>
            <w:tcW w:w="10800" w:type="dxa"/>
            <w:gridSpan w:val="6"/>
            <w:vMerge w:val="restart"/>
            <w:tcBorders>
              <w:top w:val="single" w:sz="4" w:space="0" w:color="auto"/>
              <w:left w:val="nil"/>
              <w:bottom w:val="nil"/>
              <w:right w:val="nil"/>
            </w:tcBorders>
            <w:shd w:val="clear" w:color="000000" w:fill="FFFFFF"/>
            <w:hideMark/>
          </w:tcPr>
          <w:p w14:paraId="282DE686" w14:textId="481789F8" w:rsidR="00C472B2" w:rsidRPr="00C472B2" w:rsidRDefault="00C472B2" w:rsidP="00377A6F">
            <w:pPr>
              <w:rPr>
                <w:color w:val="000000"/>
                <w:sz w:val="20"/>
                <w:szCs w:val="20"/>
              </w:rPr>
            </w:pPr>
            <w:r w:rsidRPr="00C472B2">
              <w:rPr>
                <w:i/>
                <w:iCs/>
                <w:color w:val="000000"/>
                <w:sz w:val="20"/>
                <w:szCs w:val="20"/>
              </w:rPr>
              <w:t xml:space="preserve">Note. </w:t>
            </w:r>
            <w:r w:rsidR="001C6BC7" w:rsidRPr="00C472B2">
              <w:rPr>
                <w:color w:val="000000"/>
                <w:sz w:val="20"/>
                <w:szCs w:val="20"/>
              </w:rPr>
              <w:t>Parenthetical</w:t>
            </w:r>
            <w:r w:rsidRPr="00C472B2">
              <w:rPr>
                <w:color w:val="000000"/>
                <w:sz w:val="20"/>
                <w:szCs w:val="20"/>
              </w:rPr>
              <w:t xml:space="preserve"> numbers re</w:t>
            </w:r>
            <w:r w:rsidR="00CC3C10" w:rsidRPr="00CC3C10">
              <w:rPr>
                <w:color w:val="000000"/>
                <w:sz w:val="20"/>
                <w:szCs w:val="20"/>
              </w:rPr>
              <w:t>f</w:t>
            </w:r>
            <w:r w:rsidRPr="00C472B2">
              <w:rPr>
                <w:color w:val="000000"/>
                <w:sz w:val="20"/>
                <w:szCs w:val="20"/>
              </w:rPr>
              <w:t xml:space="preserve">lect standard deviations. The </w:t>
            </w:r>
            <w:r w:rsidR="00CE17F9">
              <w:rPr>
                <w:color w:val="000000"/>
                <w:sz w:val="20"/>
                <w:szCs w:val="20"/>
              </w:rPr>
              <w:t xml:space="preserve">scale for the prescription question in the </w:t>
            </w:r>
            <w:r w:rsidRPr="00C472B2">
              <w:rPr>
                <w:color w:val="000000"/>
                <w:sz w:val="20"/>
                <w:szCs w:val="20"/>
              </w:rPr>
              <w:t>original</w:t>
            </w:r>
            <w:r w:rsidR="00CE17F9">
              <w:rPr>
                <w:color w:val="000000"/>
                <w:sz w:val="20"/>
                <w:szCs w:val="20"/>
              </w:rPr>
              <w:t>-</w:t>
            </w:r>
            <w:r w:rsidRPr="00C472B2">
              <w:rPr>
                <w:color w:val="000000"/>
                <w:sz w:val="20"/>
                <w:szCs w:val="20"/>
              </w:rPr>
              <w:t xml:space="preserve">wording </w:t>
            </w:r>
            <w:r w:rsidR="00CE17F9">
              <w:rPr>
                <w:color w:val="000000"/>
                <w:sz w:val="20"/>
                <w:szCs w:val="20"/>
              </w:rPr>
              <w:t xml:space="preserve">condition </w:t>
            </w:r>
            <w:r w:rsidRPr="00C472B2">
              <w:rPr>
                <w:color w:val="000000"/>
                <w:sz w:val="20"/>
                <w:szCs w:val="20"/>
              </w:rPr>
              <w:t>went from -2 (Extremely pessimistic) to +2 (Extremely optimistic), with the midpoint labeled as "Accurate". The</w:t>
            </w:r>
            <w:r w:rsidR="00CE17F9">
              <w:rPr>
                <w:color w:val="000000"/>
                <w:sz w:val="20"/>
                <w:szCs w:val="20"/>
              </w:rPr>
              <w:t xml:space="preserve"> scale in the </w:t>
            </w:r>
            <w:r w:rsidR="00EA2A9B">
              <w:rPr>
                <w:color w:val="000000"/>
                <w:sz w:val="20"/>
                <w:szCs w:val="20"/>
              </w:rPr>
              <w:t>estimation</w:t>
            </w:r>
            <w:r w:rsidR="00CE17F9">
              <w:rPr>
                <w:color w:val="000000"/>
                <w:sz w:val="20"/>
                <w:szCs w:val="20"/>
              </w:rPr>
              <w:t>-</w:t>
            </w:r>
            <w:r w:rsidRPr="00C472B2">
              <w:rPr>
                <w:color w:val="000000"/>
                <w:sz w:val="20"/>
                <w:szCs w:val="20"/>
              </w:rPr>
              <w:t xml:space="preserve">wording </w:t>
            </w:r>
            <w:r w:rsidR="00CE17F9">
              <w:rPr>
                <w:color w:val="000000"/>
                <w:sz w:val="20"/>
                <w:szCs w:val="20"/>
              </w:rPr>
              <w:t xml:space="preserve">condition </w:t>
            </w:r>
            <w:r w:rsidRPr="00C472B2">
              <w:rPr>
                <w:color w:val="000000"/>
                <w:sz w:val="20"/>
                <w:szCs w:val="20"/>
              </w:rPr>
              <w:t>went from -2 (Greatly underestimate) to +2 (Greatly overestimate), with the midpoint labeled as "Accurately estimate".</w:t>
            </w:r>
          </w:p>
        </w:tc>
      </w:tr>
      <w:tr w:rsidR="00C472B2" w:rsidRPr="00C472B2" w14:paraId="2ECEB69C" w14:textId="77777777" w:rsidTr="00CC3C10">
        <w:trPr>
          <w:trHeight w:val="293"/>
          <w:jc w:val="center"/>
        </w:trPr>
        <w:tc>
          <w:tcPr>
            <w:tcW w:w="10800" w:type="dxa"/>
            <w:gridSpan w:val="6"/>
            <w:vMerge/>
            <w:tcBorders>
              <w:top w:val="single" w:sz="4" w:space="0" w:color="auto"/>
              <w:left w:val="nil"/>
              <w:bottom w:val="nil"/>
              <w:right w:val="nil"/>
            </w:tcBorders>
            <w:vAlign w:val="center"/>
            <w:hideMark/>
          </w:tcPr>
          <w:p w14:paraId="39DCBDAF" w14:textId="77777777" w:rsidR="00C472B2" w:rsidRPr="00C472B2" w:rsidRDefault="00C472B2" w:rsidP="00377A6F">
            <w:pPr>
              <w:rPr>
                <w:color w:val="000000"/>
                <w:sz w:val="22"/>
                <w:szCs w:val="22"/>
              </w:rPr>
            </w:pPr>
          </w:p>
        </w:tc>
      </w:tr>
    </w:tbl>
    <w:p w14:paraId="16312A2D" w14:textId="77777777" w:rsidR="00377A6F" w:rsidRDefault="009278AB" w:rsidP="002936DE">
      <w:pPr>
        <w:spacing w:line="480" w:lineRule="auto"/>
      </w:pPr>
      <w:r>
        <w:tab/>
      </w:r>
    </w:p>
    <w:p w14:paraId="6EDF92B9" w14:textId="5D81F4BC" w:rsidR="00D6246C" w:rsidRDefault="00A9293C" w:rsidP="00377A6F">
      <w:pPr>
        <w:spacing w:line="480" w:lineRule="auto"/>
        <w:ind w:firstLine="720"/>
      </w:pPr>
      <w:r w:rsidRPr="00913A3B">
        <w:t xml:space="preserve">Prescriptions were </w:t>
      </w:r>
      <w:r w:rsidR="00A0652F" w:rsidRPr="00913A3B">
        <w:t xml:space="preserve">submitted to </w:t>
      </w:r>
      <w:r w:rsidRPr="00913A3B">
        <w:t>a</w:t>
      </w:r>
      <w:r w:rsidR="007902F4" w:rsidRPr="00913A3B">
        <w:t xml:space="preserve"> 2(Wording: original/</w:t>
      </w:r>
      <w:r w:rsidR="003E5F56">
        <w:t>estimation</w:t>
      </w:r>
      <w:r w:rsidR="007902F4" w:rsidRPr="00913A3B">
        <w:t>) x 3(Version</w:t>
      </w:r>
      <w:r w:rsidR="003E5F56">
        <w:t xml:space="preserve">: </w:t>
      </w:r>
      <w:r w:rsidR="003E5F56" w:rsidRPr="008A3B8D">
        <w:t>Internal Agency/Pre-commitment, Internal Agency/Post-commitment, Externa</w:t>
      </w:r>
      <w:r w:rsidR="003E5F56">
        <w:t>l</w:t>
      </w:r>
      <w:r w:rsidR="003E5F56" w:rsidRPr="008A3B8D">
        <w:t xml:space="preserve"> Agency/Post</w:t>
      </w:r>
      <w:r w:rsidR="003E5F56">
        <w:t>-</w:t>
      </w:r>
      <w:r w:rsidR="003E5F56" w:rsidRPr="008A3B8D">
        <w:t>commitment</w:t>
      </w:r>
      <w:r w:rsidR="007902F4" w:rsidRPr="00913A3B">
        <w:t xml:space="preserve">) </w:t>
      </w:r>
      <w:r w:rsidR="005A6CCA">
        <w:t>repeated measures</w:t>
      </w:r>
      <w:r w:rsidR="007902F4" w:rsidRPr="00913A3B">
        <w:t xml:space="preserve"> ANOVA</w:t>
      </w:r>
      <w:r w:rsidRPr="00913A3B">
        <w:t xml:space="preserve">. </w:t>
      </w:r>
      <w:r w:rsidR="00D02C01">
        <w:t xml:space="preserve">Figure 1 shows the pattern of results. </w:t>
      </w:r>
      <w:r w:rsidR="007A52DA">
        <w:t xml:space="preserve">In support of our main hypothesis, </w:t>
      </w:r>
      <w:r w:rsidR="00013547">
        <w:t>participants gave different prescriptions</w:t>
      </w:r>
      <w:r w:rsidR="00A66A02">
        <w:t xml:space="preserve"> as a function of the </w:t>
      </w:r>
      <w:r w:rsidR="008C05C2">
        <w:t>prescription</w:t>
      </w:r>
      <w:r w:rsidR="00913A3B">
        <w:t xml:space="preserve"> measure’s</w:t>
      </w:r>
      <w:r w:rsidR="008C05C2">
        <w:t xml:space="preserve"> wording, </w:t>
      </w:r>
      <w:proofErr w:type="gramStart"/>
      <w:r w:rsidR="007A52DA" w:rsidRPr="007E1796">
        <w:rPr>
          <w:i/>
          <w:iCs/>
        </w:rPr>
        <w:t>F</w:t>
      </w:r>
      <w:r w:rsidR="00F82D0F">
        <w:t>(</w:t>
      </w:r>
      <w:proofErr w:type="gramEnd"/>
      <w:r w:rsidR="00F82D0F">
        <w:t xml:space="preserve">1, </w:t>
      </w:r>
      <w:r w:rsidR="0061381B">
        <w:t>32</w:t>
      </w:r>
      <w:r w:rsidR="00F82D0F">
        <w:t>4) = 99.</w:t>
      </w:r>
      <w:r w:rsidR="0061381B">
        <w:t>10</w:t>
      </w:r>
      <w:r w:rsidR="00F82D0F">
        <w:t xml:space="preserve">, </w:t>
      </w:r>
      <w:r w:rsidR="00F82D0F" w:rsidRPr="007E1796">
        <w:rPr>
          <w:i/>
          <w:iCs/>
        </w:rPr>
        <w:t>p</w:t>
      </w:r>
      <w:r w:rsidR="00F82D0F">
        <w:t xml:space="preserve"> &lt; .001, </w:t>
      </w:r>
      <w:r w:rsidR="00CE44FD" w:rsidRPr="00CE44FD">
        <w:sym w:font="Symbol" w:char="F068"/>
      </w:r>
      <w:r w:rsidR="00CE44FD" w:rsidRPr="00CE44FD">
        <w:rPr>
          <w:vertAlign w:val="subscript"/>
        </w:rPr>
        <w:t>p</w:t>
      </w:r>
      <w:r w:rsidR="00CE44FD" w:rsidRPr="00CE44FD">
        <w:rPr>
          <w:vertAlign w:val="superscript"/>
        </w:rPr>
        <w:t>2</w:t>
      </w:r>
      <w:r w:rsidR="00F82D0F">
        <w:t xml:space="preserve"> = .2</w:t>
      </w:r>
      <w:r w:rsidR="0061381B">
        <w:t>34</w:t>
      </w:r>
      <w:r w:rsidR="00F82D0F">
        <w:t>.</w:t>
      </w:r>
      <w:r w:rsidR="008C05C2">
        <w:t xml:space="preserve"> With</w:t>
      </w:r>
      <w:r w:rsidR="003753BA">
        <w:t xml:space="preserve"> the original </w:t>
      </w:r>
      <w:r w:rsidR="00913A3B">
        <w:t>wording</w:t>
      </w:r>
      <w:r w:rsidR="003753BA">
        <w:t>, participants generally prescribed optimism</w:t>
      </w:r>
      <w:r w:rsidR="008C05C2">
        <w:t xml:space="preserve"> (</w:t>
      </w:r>
      <w:r w:rsidR="008C05C2" w:rsidRPr="007E1796">
        <w:rPr>
          <w:i/>
          <w:iCs/>
        </w:rPr>
        <w:t>M</w:t>
      </w:r>
      <w:r w:rsidR="008C05C2">
        <w:t xml:space="preserve"> = </w:t>
      </w:r>
      <w:r w:rsidR="0061381B">
        <w:t>0.37</w:t>
      </w:r>
      <w:r w:rsidR="008C05C2">
        <w:t xml:space="preserve">, </w:t>
      </w:r>
      <w:r w:rsidR="008C05C2" w:rsidRPr="007E1796">
        <w:rPr>
          <w:i/>
          <w:iCs/>
        </w:rPr>
        <w:t>SD</w:t>
      </w:r>
      <w:r w:rsidR="008C05C2">
        <w:t xml:space="preserve"> = 0.60)</w:t>
      </w:r>
      <w:r w:rsidR="0052388A">
        <w:t xml:space="preserve">, </w:t>
      </w:r>
      <w:r w:rsidR="00913A3B">
        <w:t xml:space="preserve">with a mean that </w:t>
      </w:r>
      <w:r w:rsidR="0052388A">
        <w:t>was significantly above the scale midpoint of ‘accurate’</w:t>
      </w:r>
      <w:r w:rsidR="0047164A">
        <w:t>,</w:t>
      </w:r>
      <w:r w:rsidR="003753BA">
        <w:t xml:space="preserve"> </w:t>
      </w:r>
      <w:proofErr w:type="gramStart"/>
      <w:r w:rsidR="003753BA" w:rsidRPr="007902F4">
        <w:rPr>
          <w:i/>
          <w:iCs/>
        </w:rPr>
        <w:t>t</w:t>
      </w:r>
      <w:r w:rsidR="003753BA" w:rsidRPr="007902F4">
        <w:t>(</w:t>
      </w:r>
      <w:proofErr w:type="gramEnd"/>
      <w:r w:rsidR="003753BA">
        <w:t xml:space="preserve">165) = 7.94, </w:t>
      </w:r>
      <w:r w:rsidR="003753BA" w:rsidRPr="007902F4">
        <w:rPr>
          <w:i/>
          <w:iCs/>
        </w:rPr>
        <w:t>p</w:t>
      </w:r>
      <w:r w:rsidR="003753BA">
        <w:t xml:space="preserve"> &lt; .001</w:t>
      </w:r>
      <w:r w:rsidR="003753BA" w:rsidRPr="00896138">
        <w:t xml:space="preserve">, </w:t>
      </w:r>
      <w:r w:rsidR="003753BA" w:rsidRPr="00931A48">
        <w:rPr>
          <w:i/>
          <w:iCs/>
        </w:rPr>
        <w:t xml:space="preserve">d </w:t>
      </w:r>
      <w:r w:rsidR="003753BA" w:rsidRPr="00931A48">
        <w:t xml:space="preserve">= </w:t>
      </w:r>
      <w:r w:rsidR="00896138" w:rsidRPr="00931A48">
        <w:t>1.23</w:t>
      </w:r>
      <w:r w:rsidR="003753BA" w:rsidRPr="00931A48">
        <w:t>,</w:t>
      </w:r>
      <w:r w:rsidR="003753BA">
        <w:t xml:space="preserve"> 95% CI [0.28, 0.47]. This replicate</w:t>
      </w:r>
      <w:r w:rsidR="008F7CF0">
        <w:t>d</w:t>
      </w:r>
      <w:r w:rsidR="003753BA">
        <w:t xml:space="preserve"> Armor et al. (2008)</w:t>
      </w:r>
      <w:r w:rsidR="00913A3B">
        <w:t xml:space="preserve">. </w:t>
      </w:r>
      <w:r w:rsidR="003753BA">
        <w:t>However,</w:t>
      </w:r>
      <w:r w:rsidR="00CE17F9">
        <w:t xml:space="preserve"> in </w:t>
      </w:r>
      <w:r w:rsidR="00913A3B">
        <w:t xml:space="preserve">the </w:t>
      </w:r>
      <w:r w:rsidR="00EA2A9B">
        <w:t>estimation</w:t>
      </w:r>
      <w:r w:rsidR="00CE17F9">
        <w:t>-</w:t>
      </w:r>
      <w:r w:rsidR="00913A3B">
        <w:t>wording</w:t>
      </w:r>
      <w:r w:rsidR="00CE17F9">
        <w:t xml:space="preserve"> condition</w:t>
      </w:r>
      <w:r w:rsidR="00913A3B">
        <w:t xml:space="preserve">, </w:t>
      </w:r>
      <w:r w:rsidR="003753BA">
        <w:t>participants generally prescribed underestimation</w:t>
      </w:r>
      <w:r w:rsidR="008C05C2" w:rsidRPr="008C05C2">
        <w:rPr>
          <w:i/>
          <w:iCs/>
        </w:rPr>
        <w:t xml:space="preserve"> </w:t>
      </w:r>
      <w:r w:rsidR="008C05C2" w:rsidRPr="006B69FD">
        <w:t>(</w:t>
      </w:r>
      <w:r w:rsidR="008C05C2" w:rsidRPr="007E1796">
        <w:rPr>
          <w:i/>
          <w:iCs/>
        </w:rPr>
        <w:t xml:space="preserve">M </w:t>
      </w:r>
      <w:r w:rsidR="008C05C2">
        <w:t xml:space="preserve">= </w:t>
      </w:r>
      <w:r w:rsidR="0061381B">
        <w:t>-0.23</w:t>
      </w:r>
      <w:r w:rsidR="008C05C2">
        <w:t xml:space="preserve">, </w:t>
      </w:r>
      <w:r w:rsidR="008C05C2" w:rsidRPr="007E1796">
        <w:rPr>
          <w:i/>
          <w:iCs/>
        </w:rPr>
        <w:t>SD</w:t>
      </w:r>
      <w:r w:rsidR="008C05C2">
        <w:t xml:space="preserve"> = 0.48)</w:t>
      </w:r>
      <w:r w:rsidR="00B82865">
        <w:t xml:space="preserve">, </w:t>
      </w:r>
      <w:r w:rsidR="00D75447">
        <w:t xml:space="preserve">with a mean that </w:t>
      </w:r>
      <w:r w:rsidR="00B82865">
        <w:t>was significantly below the midpoint of ‘accurately estimate’,</w:t>
      </w:r>
      <w:r w:rsidR="003753BA">
        <w:t xml:space="preserve"> </w:t>
      </w:r>
      <w:proofErr w:type="gramStart"/>
      <w:r w:rsidR="003753BA" w:rsidRPr="007902F4">
        <w:rPr>
          <w:i/>
          <w:iCs/>
        </w:rPr>
        <w:t>t</w:t>
      </w:r>
      <w:r w:rsidR="003753BA">
        <w:t>(</w:t>
      </w:r>
      <w:proofErr w:type="gramEnd"/>
      <w:r w:rsidR="003753BA">
        <w:t>164) = -6.25,</w:t>
      </w:r>
      <w:r w:rsidR="003753BA" w:rsidRPr="007902F4">
        <w:rPr>
          <w:i/>
          <w:iCs/>
        </w:rPr>
        <w:t xml:space="preserve"> p</w:t>
      </w:r>
      <w:r w:rsidR="003753BA">
        <w:t xml:space="preserve"> </w:t>
      </w:r>
      <w:r w:rsidR="003753BA" w:rsidRPr="00896138">
        <w:t xml:space="preserve">&lt; .001, </w:t>
      </w:r>
      <w:r w:rsidR="003753BA" w:rsidRPr="00931A48">
        <w:rPr>
          <w:i/>
          <w:iCs/>
        </w:rPr>
        <w:t>d</w:t>
      </w:r>
      <w:r w:rsidR="003753BA" w:rsidRPr="00931A48">
        <w:t xml:space="preserve"> = </w:t>
      </w:r>
      <w:r w:rsidR="00896138" w:rsidRPr="00FA4D27">
        <w:t>-</w:t>
      </w:r>
      <w:r w:rsidR="00896138">
        <w:t>0.97,</w:t>
      </w:r>
      <w:r w:rsidR="003753BA">
        <w:t xml:space="preserve"> 95% CI [-0.31, -0.16]</w:t>
      </w:r>
      <w:r w:rsidR="00B82865">
        <w:t xml:space="preserve">. </w:t>
      </w:r>
      <w:r w:rsidR="00D75447">
        <w:t>In other words, participants generally prescribe</w:t>
      </w:r>
      <w:r w:rsidR="00071696">
        <w:t>d</w:t>
      </w:r>
      <w:r w:rsidR="00D75447">
        <w:t xml:space="preserve"> a pessimistic estimation of likelihood.</w:t>
      </w:r>
      <w:r w:rsidR="00D6246C">
        <w:t xml:space="preserve"> </w:t>
      </w:r>
      <w:r w:rsidR="00D75447">
        <w:t xml:space="preserve"> </w:t>
      </w:r>
    </w:p>
    <w:p w14:paraId="5AE6464F" w14:textId="5D96AF74" w:rsidR="00CC3C10" w:rsidRDefault="00954AD2" w:rsidP="00377A6F">
      <w:pPr>
        <w:spacing w:line="480" w:lineRule="auto"/>
        <w:ind w:firstLine="720"/>
        <w:rPr>
          <w:color w:val="000000" w:themeColor="text1"/>
        </w:rPr>
      </w:pPr>
      <w:r>
        <w:t xml:space="preserve">A secondary interest </w:t>
      </w:r>
      <w:r w:rsidR="007610CA">
        <w:t xml:space="preserve">was whether </w:t>
      </w:r>
      <w:r>
        <w:t xml:space="preserve">the scenario versions </w:t>
      </w:r>
      <w:r w:rsidR="007610CA">
        <w:t xml:space="preserve">would influence </w:t>
      </w:r>
      <w:r>
        <w:t>prescriptions</w:t>
      </w:r>
      <w:r w:rsidR="007610CA">
        <w:t xml:space="preserve">.  Because Armor </w:t>
      </w:r>
      <w:r w:rsidR="00EA275C">
        <w:t xml:space="preserve">et al. (2008) </w:t>
      </w:r>
      <w:r w:rsidR="007610CA">
        <w:t xml:space="preserve">found that moderators like agency and commitment influenced prescriptions, we expected that prescriptions might be different across the three version types </w:t>
      </w:r>
      <w:r w:rsidR="007610CA">
        <w:lastRenderedPageBreak/>
        <w:t>that we used, at least in the original wording condition. However, the effect of version was not significant in the full 2</w:t>
      </w:r>
      <w:r w:rsidR="005A6CCA">
        <w:t xml:space="preserve">(Wording) </w:t>
      </w:r>
      <w:r w:rsidR="007610CA">
        <w:t>x</w:t>
      </w:r>
      <w:r w:rsidR="005A6CCA">
        <w:t xml:space="preserve"> </w:t>
      </w:r>
      <w:r w:rsidR="007610CA">
        <w:t>3</w:t>
      </w:r>
      <w:r w:rsidR="005A6CCA">
        <w:t>(Version)</w:t>
      </w:r>
      <w:r w:rsidR="007610CA">
        <w:t xml:space="preserve"> ANOVA, </w:t>
      </w:r>
      <w:proofErr w:type="gramStart"/>
      <w:r w:rsidRPr="00CE44FD">
        <w:rPr>
          <w:i/>
          <w:iCs/>
        </w:rPr>
        <w:t>F</w:t>
      </w:r>
      <w:r>
        <w:t>(</w:t>
      </w:r>
      <w:proofErr w:type="gramEnd"/>
      <w:r>
        <w:t>2, 6</w:t>
      </w:r>
      <w:r w:rsidR="00FA4D27">
        <w:t>4</w:t>
      </w:r>
      <w:r>
        <w:t>8) = 0.</w:t>
      </w:r>
      <w:r w:rsidR="00FA4D27">
        <w:t>84</w:t>
      </w:r>
      <w:r>
        <w:t xml:space="preserve">, </w:t>
      </w:r>
      <w:r w:rsidRPr="00CE44FD">
        <w:rPr>
          <w:i/>
          <w:iCs/>
        </w:rPr>
        <w:t>p</w:t>
      </w:r>
      <w:r>
        <w:t xml:space="preserve"> = .</w:t>
      </w:r>
      <w:r w:rsidR="00FA4D27">
        <w:t>433</w:t>
      </w:r>
      <w:r>
        <w:t xml:space="preserve">, </w:t>
      </w:r>
      <w:r w:rsidR="00CE44FD" w:rsidRPr="00CE44FD">
        <w:sym w:font="Symbol" w:char="F068"/>
      </w:r>
      <w:r w:rsidR="00CE44FD" w:rsidRPr="00CE44FD">
        <w:rPr>
          <w:vertAlign w:val="subscript"/>
        </w:rPr>
        <w:t>p</w:t>
      </w:r>
      <w:r w:rsidR="00CE44FD" w:rsidRPr="00CE44FD">
        <w:rPr>
          <w:vertAlign w:val="superscript"/>
        </w:rPr>
        <w:t>2</w:t>
      </w:r>
      <w:r w:rsidR="00CE44FD" w:rsidRPr="00CE44FD">
        <w:t xml:space="preserve"> </w:t>
      </w:r>
      <w:r>
        <w:t>= .003</w:t>
      </w:r>
      <w:r w:rsidR="00DD3E6A">
        <w:t>.</w:t>
      </w:r>
      <w:r w:rsidR="007610CA">
        <w:t xml:space="preserve">  The effect was also non-significant within just the original wording</w:t>
      </w:r>
      <w:r w:rsidR="008A57D3">
        <w:t xml:space="preserve"> condition (</w:t>
      </w:r>
      <w:r w:rsidR="008A57D3" w:rsidRPr="00931A48">
        <w:rPr>
          <w:i/>
          <w:iCs/>
        </w:rPr>
        <w:t>p</w:t>
      </w:r>
      <w:r w:rsidR="008A57D3">
        <w:t xml:space="preserve"> = </w:t>
      </w:r>
      <w:r w:rsidR="00FA4D27">
        <w:t>.</w:t>
      </w:r>
      <w:r w:rsidR="00F2550C">
        <w:t>630</w:t>
      </w:r>
      <w:r w:rsidR="008A57D3">
        <w:t>).  Moreover, the</w:t>
      </w:r>
      <w:r>
        <w:t xml:space="preserve"> </w:t>
      </w:r>
      <w:r w:rsidR="008A57D3">
        <w:t>Wording</w:t>
      </w:r>
      <w:r w:rsidR="00EE33EC">
        <w:t xml:space="preserve"> x Version</w:t>
      </w:r>
      <w:r w:rsidR="008A57D3">
        <w:t xml:space="preserve"> interaction was not significant</w:t>
      </w:r>
      <w:r>
        <w:t xml:space="preserve">, </w:t>
      </w:r>
      <w:proofErr w:type="gramStart"/>
      <w:r w:rsidRPr="006B69FD">
        <w:rPr>
          <w:i/>
          <w:iCs/>
          <w:color w:val="000000" w:themeColor="text1"/>
        </w:rPr>
        <w:t>F</w:t>
      </w:r>
      <w:r w:rsidRPr="006B69FD">
        <w:rPr>
          <w:color w:val="000000" w:themeColor="text1"/>
        </w:rPr>
        <w:t>(</w:t>
      </w:r>
      <w:proofErr w:type="gramEnd"/>
      <w:r w:rsidRPr="006B69FD">
        <w:rPr>
          <w:color w:val="000000" w:themeColor="text1"/>
        </w:rPr>
        <w:t>2, 6</w:t>
      </w:r>
      <w:r w:rsidR="00FA4D27">
        <w:rPr>
          <w:color w:val="000000" w:themeColor="text1"/>
        </w:rPr>
        <w:t>4</w:t>
      </w:r>
      <w:r w:rsidRPr="006B69FD">
        <w:rPr>
          <w:color w:val="000000" w:themeColor="text1"/>
        </w:rPr>
        <w:t>8) = 0.00</w:t>
      </w:r>
      <w:r w:rsidR="00FA4D27">
        <w:rPr>
          <w:color w:val="000000" w:themeColor="text1"/>
        </w:rPr>
        <w:t>5</w:t>
      </w:r>
      <w:r w:rsidRPr="006B69FD">
        <w:rPr>
          <w:color w:val="000000" w:themeColor="text1"/>
        </w:rPr>
        <w:t xml:space="preserve">, </w:t>
      </w:r>
      <w:r w:rsidRPr="006B69FD">
        <w:rPr>
          <w:i/>
          <w:iCs/>
          <w:color w:val="000000" w:themeColor="text1"/>
        </w:rPr>
        <w:t>p</w:t>
      </w:r>
      <w:r w:rsidRPr="006B69FD">
        <w:rPr>
          <w:color w:val="000000" w:themeColor="text1"/>
        </w:rPr>
        <w:t xml:space="preserve"> = .99</w:t>
      </w:r>
      <w:r w:rsidR="00FA4D27">
        <w:rPr>
          <w:color w:val="000000" w:themeColor="text1"/>
        </w:rPr>
        <w:t>5</w:t>
      </w:r>
      <w:r w:rsidRPr="006B69FD">
        <w:rPr>
          <w:color w:val="000000" w:themeColor="text1"/>
        </w:rPr>
        <w:t xml:space="preserve">, </w:t>
      </w:r>
      <w:r w:rsidR="00CE44FD" w:rsidRPr="006B69FD">
        <w:rPr>
          <w:color w:val="000000" w:themeColor="text1"/>
        </w:rPr>
        <w:sym w:font="Symbol" w:char="F068"/>
      </w:r>
      <w:r w:rsidR="00CE44FD" w:rsidRPr="006B69FD">
        <w:rPr>
          <w:color w:val="000000" w:themeColor="text1"/>
          <w:vertAlign w:val="subscript"/>
        </w:rPr>
        <w:t>p</w:t>
      </w:r>
      <w:r w:rsidR="00CE44FD" w:rsidRPr="006B69FD">
        <w:rPr>
          <w:color w:val="000000" w:themeColor="text1"/>
          <w:vertAlign w:val="superscript"/>
        </w:rPr>
        <w:t>2</w:t>
      </w:r>
      <w:r w:rsidR="00CE44FD" w:rsidRPr="006B69FD">
        <w:rPr>
          <w:color w:val="000000" w:themeColor="text1"/>
        </w:rPr>
        <w:t xml:space="preserve"> </w:t>
      </w:r>
      <w:r w:rsidRPr="006B69FD">
        <w:rPr>
          <w:color w:val="000000" w:themeColor="text1"/>
        </w:rPr>
        <w:t>= .000</w:t>
      </w:r>
      <w:r w:rsidR="00C95EBA">
        <w:rPr>
          <w:color w:val="000000" w:themeColor="text1"/>
        </w:rPr>
        <w:t>.</w:t>
      </w:r>
      <w:r w:rsidR="00071696">
        <w:rPr>
          <w:color w:val="000000" w:themeColor="text1"/>
        </w:rPr>
        <w:t xml:space="preserve">  </w:t>
      </w:r>
    </w:p>
    <w:p w14:paraId="6209640F" w14:textId="2D05A064" w:rsidR="00CC3C10" w:rsidRDefault="00FB4818" w:rsidP="00BD2716">
      <w:pPr>
        <w:spacing w:line="480" w:lineRule="auto"/>
        <w:jc w:val="center"/>
        <w:rPr>
          <w:color w:val="000000" w:themeColor="text1"/>
        </w:rPr>
      </w:pPr>
      <w:r>
        <w:rPr>
          <w:noProof/>
          <w:color w:val="000000" w:themeColor="text1"/>
        </w:rPr>
        <w:drawing>
          <wp:inline distT="0" distB="0" distL="0" distR="0" wp14:anchorId="0015A675" wp14:editId="48F4123F">
            <wp:extent cx="4681537" cy="4572000"/>
            <wp:effectExtent l="0" t="0" r="5080" b="0"/>
            <wp:docPr id="3" name="Picture 3"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ox and whisker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81537" cy="4572000"/>
                    </a:xfrm>
                    <a:prstGeom prst="rect">
                      <a:avLst/>
                    </a:prstGeom>
                  </pic:spPr>
                </pic:pic>
              </a:graphicData>
            </a:graphic>
          </wp:inline>
        </w:drawing>
      </w:r>
    </w:p>
    <w:p w14:paraId="6D875AEF" w14:textId="378A8795" w:rsidR="00377A6F" w:rsidRPr="00FB4818" w:rsidRDefault="00CC3C10" w:rsidP="00D80DF6">
      <w:pPr>
        <w:pStyle w:val="NormalWeb"/>
        <w:rPr>
          <w:i/>
          <w:iCs/>
          <w:color w:val="000000" w:themeColor="text1"/>
          <w:sz w:val="20"/>
          <w:szCs w:val="20"/>
        </w:rPr>
      </w:pPr>
      <w:r w:rsidRPr="00FB4818">
        <w:rPr>
          <w:i/>
          <w:iCs/>
          <w:color w:val="000000" w:themeColor="text1"/>
          <w:sz w:val="20"/>
          <w:szCs w:val="20"/>
        </w:rPr>
        <w:t>Figure 1.</w:t>
      </w:r>
      <w:r w:rsidRPr="00FB4818">
        <w:rPr>
          <w:color w:val="000000" w:themeColor="text1"/>
          <w:sz w:val="20"/>
          <w:szCs w:val="20"/>
        </w:rPr>
        <w:t xml:space="preserve"> Study 1 mean prescriptions per scenario version and prescription wording.</w:t>
      </w:r>
      <w:r w:rsidR="001E61CF" w:rsidRPr="00FB4818">
        <w:rPr>
          <w:color w:val="333333"/>
          <w:sz w:val="20"/>
          <w:szCs w:val="20"/>
        </w:rPr>
        <w:t xml:space="preserve"> In each box plot, the symbol indicates the </w:t>
      </w:r>
      <w:r w:rsidR="00FB4818" w:rsidRPr="00FB4818">
        <w:rPr>
          <w:color w:val="333333"/>
          <w:sz w:val="20"/>
          <w:szCs w:val="20"/>
        </w:rPr>
        <w:t xml:space="preserve">estimated </w:t>
      </w:r>
      <w:r w:rsidR="001E61CF" w:rsidRPr="00FB4818">
        <w:rPr>
          <w:color w:val="333333"/>
          <w:sz w:val="20"/>
          <w:szCs w:val="20"/>
        </w:rPr>
        <w:t>mean</w:t>
      </w:r>
      <w:r w:rsidR="00FB4818" w:rsidRPr="00FB4818">
        <w:rPr>
          <w:color w:val="333333"/>
          <w:sz w:val="20"/>
          <w:szCs w:val="20"/>
        </w:rPr>
        <w:t xml:space="preserve">, </w:t>
      </w:r>
      <w:r w:rsidR="001E61CF" w:rsidRPr="00FB4818">
        <w:rPr>
          <w:color w:val="333333"/>
          <w:sz w:val="20"/>
          <w:szCs w:val="20"/>
        </w:rPr>
        <w:t>error bar</w:t>
      </w:r>
      <w:r w:rsidR="00FB4818" w:rsidRPr="00FB4818">
        <w:rPr>
          <w:color w:val="333333"/>
          <w:sz w:val="20"/>
          <w:szCs w:val="20"/>
        </w:rPr>
        <w:t xml:space="preserve">s </w:t>
      </w:r>
      <w:r w:rsidR="001E61CF" w:rsidRPr="00FB4818">
        <w:rPr>
          <w:color w:val="333333"/>
          <w:sz w:val="20"/>
          <w:szCs w:val="20"/>
        </w:rPr>
        <w:t>indicate 95% confidence intervals</w:t>
      </w:r>
      <w:r w:rsidR="00FB4818" w:rsidRPr="00FB4818">
        <w:rPr>
          <w:color w:val="333333"/>
          <w:sz w:val="20"/>
          <w:szCs w:val="20"/>
        </w:rPr>
        <w:t>, and the shaded box</w:t>
      </w:r>
      <w:r w:rsidR="001E61CF" w:rsidRPr="00FB4818">
        <w:rPr>
          <w:color w:val="333333"/>
          <w:sz w:val="20"/>
          <w:szCs w:val="20"/>
        </w:rPr>
        <w:t xml:space="preserve"> indicates the distribution of the data</w:t>
      </w:r>
      <w:r w:rsidR="00F36A71" w:rsidRPr="00FB4818">
        <w:rPr>
          <w:color w:val="333333"/>
          <w:sz w:val="20"/>
          <w:szCs w:val="20"/>
        </w:rPr>
        <w:t xml:space="preserve"> from the 25</w:t>
      </w:r>
      <w:r w:rsidR="00F36A71" w:rsidRPr="00FB4818">
        <w:rPr>
          <w:color w:val="333333"/>
          <w:sz w:val="20"/>
          <w:szCs w:val="20"/>
          <w:vertAlign w:val="superscript"/>
        </w:rPr>
        <w:t>th</w:t>
      </w:r>
      <w:r w:rsidR="00F36A71" w:rsidRPr="00FB4818">
        <w:rPr>
          <w:color w:val="333333"/>
          <w:sz w:val="20"/>
          <w:szCs w:val="20"/>
        </w:rPr>
        <w:t xml:space="preserve"> to the 75</w:t>
      </w:r>
      <w:r w:rsidR="00F36A71" w:rsidRPr="00FB4818">
        <w:rPr>
          <w:color w:val="333333"/>
          <w:sz w:val="20"/>
          <w:szCs w:val="20"/>
          <w:vertAlign w:val="superscript"/>
        </w:rPr>
        <w:t>th</w:t>
      </w:r>
      <w:r w:rsidR="00F36A71" w:rsidRPr="00FB4818">
        <w:rPr>
          <w:color w:val="333333"/>
          <w:sz w:val="20"/>
          <w:szCs w:val="20"/>
        </w:rPr>
        <w:t xml:space="preserve"> percentile</w:t>
      </w:r>
      <w:r w:rsidR="00FB4818" w:rsidRPr="00FB4818">
        <w:rPr>
          <w:color w:val="333333"/>
          <w:sz w:val="20"/>
          <w:szCs w:val="20"/>
        </w:rPr>
        <w:t>.</w:t>
      </w:r>
    </w:p>
    <w:p w14:paraId="451A4FFE" w14:textId="0F919EF4" w:rsidR="00BE34F5" w:rsidRDefault="00EE33EC" w:rsidP="00377A6F">
      <w:pPr>
        <w:widowControl w:val="0"/>
        <w:spacing w:line="480" w:lineRule="auto"/>
        <w:ind w:firstLine="720"/>
        <w:rPr>
          <w:color w:val="000000" w:themeColor="text1"/>
        </w:rPr>
      </w:pPr>
      <w:r>
        <w:rPr>
          <w:color w:val="000000" w:themeColor="text1"/>
        </w:rPr>
        <w:t>The ANOVA reported above treated version as the repeated variable, but we can</w:t>
      </w:r>
      <w:r w:rsidR="008F7CF0">
        <w:rPr>
          <w:color w:val="000000" w:themeColor="text1"/>
        </w:rPr>
        <w:t xml:space="preserve"> also</w:t>
      </w:r>
      <w:r>
        <w:rPr>
          <w:color w:val="000000" w:themeColor="text1"/>
        </w:rPr>
        <w:t xml:space="preserve"> treat scenario</w:t>
      </w:r>
      <w:r w:rsidR="00FA4D27">
        <w:rPr>
          <w:color w:val="000000" w:themeColor="text1"/>
        </w:rPr>
        <w:t xml:space="preserve"> (i.e., award, surgery, investment)</w:t>
      </w:r>
      <w:r>
        <w:rPr>
          <w:color w:val="000000" w:themeColor="text1"/>
        </w:rPr>
        <w:t xml:space="preserve"> as the repeated variable. In a</w:t>
      </w:r>
      <w:r w:rsidR="00BE34F5">
        <w:rPr>
          <w:color w:val="000000" w:themeColor="text1"/>
        </w:rPr>
        <w:t xml:space="preserve"> </w:t>
      </w:r>
      <w:r w:rsidR="00BE34F5" w:rsidRPr="00913A3B">
        <w:t>2(Wording: original/</w:t>
      </w:r>
      <w:r w:rsidR="003E5F56">
        <w:t>estimation</w:t>
      </w:r>
      <w:r w:rsidR="00BE34F5" w:rsidRPr="00913A3B">
        <w:t>) x 3(</w:t>
      </w:r>
      <w:r w:rsidR="00003059" w:rsidRPr="00AB05D6">
        <w:rPr>
          <w:i/>
        </w:rPr>
        <w:t>Scenario</w:t>
      </w:r>
      <w:r w:rsidR="00BE34F5" w:rsidRPr="00913A3B">
        <w:t>) mixed ANOVA</w:t>
      </w:r>
      <w:r w:rsidR="00003059">
        <w:t xml:space="preserve">, </w:t>
      </w:r>
      <w:r>
        <w:t>t</w:t>
      </w:r>
      <w:r w:rsidR="00003059">
        <w:t xml:space="preserve">he effect </w:t>
      </w:r>
      <w:r>
        <w:t xml:space="preserve">of </w:t>
      </w:r>
      <w:r w:rsidR="00003059">
        <w:t xml:space="preserve">wording was necessarily the </w:t>
      </w:r>
      <w:r w:rsidR="00003059">
        <w:lastRenderedPageBreak/>
        <w:t>same as already reported.</w:t>
      </w:r>
      <w:r w:rsidR="007A4D88">
        <w:t xml:space="preserve"> The effect of scenario was significant, simply reflecting the fact that more optimism was prescribed for some scenarios/protagonists than other</w:t>
      </w:r>
      <w:r w:rsidR="006048C6">
        <w:t xml:space="preserve">s, </w:t>
      </w:r>
      <w:proofErr w:type="gramStart"/>
      <w:r w:rsidR="006048C6">
        <w:rPr>
          <w:i/>
          <w:iCs/>
        </w:rPr>
        <w:t>F</w:t>
      </w:r>
      <w:r w:rsidR="006048C6">
        <w:t>(</w:t>
      </w:r>
      <w:proofErr w:type="gramEnd"/>
      <w:r w:rsidR="006048C6">
        <w:t xml:space="preserve">2, 648) = 13.49, </w:t>
      </w:r>
      <w:r w:rsidR="006048C6" w:rsidRPr="00931A48">
        <w:rPr>
          <w:i/>
          <w:iCs/>
        </w:rPr>
        <w:t>p</w:t>
      </w:r>
      <w:r w:rsidR="006048C6">
        <w:t xml:space="preserve"> &lt; .001,</w:t>
      </w:r>
      <w:r w:rsidR="006048C6" w:rsidRPr="006048C6">
        <w:rPr>
          <w:color w:val="000000" w:themeColor="text1"/>
        </w:rPr>
        <w:t xml:space="preserve"> </w:t>
      </w:r>
      <w:r w:rsidR="006048C6" w:rsidRPr="006B69FD">
        <w:rPr>
          <w:color w:val="000000" w:themeColor="text1"/>
        </w:rPr>
        <w:sym w:font="Symbol" w:char="F068"/>
      </w:r>
      <w:r w:rsidR="006048C6" w:rsidRPr="006B69FD">
        <w:rPr>
          <w:color w:val="000000" w:themeColor="text1"/>
          <w:vertAlign w:val="subscript"/>
        </w:rPr>
        <w:t>p</w:t>
      </w:r>
      <w:r w:rsidR="006048C6" w:rsidRPr="006B69FD">
        <w:rPr>
          <w:color w:val="000000" w:themeColor="text1"/>
          <w:vertAlign w:val="superscript"/>
        </w:rPr>
        <w:t>2</w:t>
      </w:r>
      <w:r w:rsidR="006048C6">
        <w:rPr>
          <w:color w:val="000000" w:themeColor="text1"/>
          <w:vertAlign w:val="superscript"/>
        </w:rPr>
        <w:t xml:space="preserve"> </w:t>
      </w:r>
      <w:r w:rsidR="006048C6">
        <w:rPr>
          <w:color w:val="000000" w:themeColor="text1"/>
        </w:rPr>
        <w:t>= .040</w:t>
      </w:r>
      <w:r w:rsidR="007A4D88">
        <w:t>. A significant Wording x Scenario interaction revealed that the impact of wording varied by scenari</w:t>
      </w:r>
      <w:r w:rsidR="006048C6">
        <w:t>o,</w:t>
      </w:r>
      <w:r w:rsidR="006048C6" w:rsidRPr="00931A48">
        <w:rPr>
          <w:i/>
          <w:iCs/>
        </w:rPr>
        <w:t xml:space="preserve"> </w:t>
      </w:r>
      <w:proofErr w:type="gramStart"/>
      <w:r w:rsidR="006048C6" w:rsidRPr="00931A48">
        <w:rPr>
          <w:i/>
          <w:iCs/>
        </w:rPr>
        <w:t>F</w:t>
      </w:r>
      <w:r w:rsidR="006048C6">
        <w:t>(</w:t>
      </w:r>
      <w:proofErr w:type="gramEnd"/>
      <w:r w:rsidR="006048C6">
        <w:t xml:space="preserve">2, 648) = 14.40, </w:t>
      </w:r>
      <w:r w:rsidR="006048C6" w:rsidRPr="00931A48">
        <w:rPr>
          <w:i/>
          <w:iCs/>
        </w:rPr>
        <w:t xml:space="preserve">p </w:t>
      </w:r>
      <w:r w:rsidR="006048C6">
        <w:t xml:space="preserve">&lt; .001, </w:t>
      </w:r>
      <w:r w:rsidR="006048C6" w:rsidRPr="006B69FD">
        <w:rPr>
          <w:color w:val="000000" w:themeColor="text1"/>
        </w:rPr>
        <w:sym w:font="Symbol" w:char="F068"/>
      </w:r>
      <w:r w:rsidR="006048C6" w:rsidRPr="006B69FD">
        <w:rPr>
          <w:color w:val="000000" w:themeColor="text1"/>
          <w:vertAlign w:val="subscript"/>
        </w:rPr>
        <w:t>p</w:t>
      </w:r>
      <w:r w:rsidR="006048C6" w:rsidRPr="006B69FD">
        <w:rPr>
          <w:color w:val="000000" w:themeColor="text1"/>
          <w:vertAlign w:val="superscript"/>
        </w:rPr>
        <w:t>2</w:t>
      </w:r>
      <w:r w:rsidR="006048C6">
        <w:rPr>
          <w:color w:val="000000" w:themeColor="text1"/>
          <w:vertAlign w:val="superscript"/>
        </w:rPr>
        <w:t xml:space="preserve">  </w:t>
      </w:r>
      <w:r w:rsidR="006048C6">
        <w:rPr>
          <w:color w:val="000000" w:themeColor="text1"/>
        </w:rPr>
        <w:t>= .043.</w:t>
      </w:r>
    </w:p>
    <w:p w14:paraId="7190150A" w14:textId="67DF2005" w:rsidR="00377A6F" w:rsidRDefault="00311B24" w:rsidP="00377A6F">
      <w:pPr>
        <w:spacing w:line="480" w:lineRule="auto"/>
        <w:ind w:firstLine="720"/>
      </w:pPr>
      <w:r>
        <w:rPr>
          <w:color w:val="000000" w:themeColor="text1"/>
        </w:rPr>
        <w:t>A</w:t>
      </w:r>
      <w:r w:rsidR="00942E20">
        <w:rPr>
          <w:color w:val="000000" w:themeColor="text1"/>
        </w:rPr>
        <w:t>lthough the effect of wording varied by scenario, we note that the effects of wording were still w</w:t>
      </w:r>
      <w:r w:rsidR="00942E20" w:rsidRPr="00942E20">
        <w:rPr>
          <w:color w:val="000000" w:themeColor="text1"/>
        </w:rPr>
        <w:t xml:space="preserve">idespread. </w:t>
      </w:r>
      <w:r w:rsidR="00E03388">
        <w:rPr>
          <w:color w:val="000000" w:themeColor="text1"/>
        </w:rPr>
        <w:t>Five of the six</w:t>
      </w:r>
      <w:r w:rsidR="00942E20" w:rsidRPr="00942E20">
        <w:rPr>
          <w:color w:val="000000" w:themeColor="text1"/>
        </w:rPr>
        <w:t xml:space="preserve"> simple-effect tests of wording within each scenario and within each version were significant and in the same direction (</w:t>
      </w:r>
      <w:proofErr w:type="spellStart"/>
      <w:r w:rsidR="00942E20" w:rsidRPr="00931A48">
        <w:rPr>
          <w:i/>
          <w:iCs/>
          <w:color w:val="000000" w:themeColor="text1"/>
        </w:rPr>
        <w:t>p</w:t>
      </w:r>
      <w:r w:rsidR="00E03388" w:rsidRPr="00931A48">
        <w:rPr>
          <w:color w:val="000000" w:themeColor="text1"/>
        </w:rPr>
        <w:t>s</w:t>
      </w:r>
      <w:proofErr w:type="spellEnd"/>
      <w:r w:rsidR="00942E20" w:rsidRPr="00942E20">
        <w:rPr>
          <w:color w:val="000000" w:themeColor="text1"/>
        </w:rPr>
        <w:t xml:space="preserve"> &lt; .05)</w:t>
      </w:r>
      <w:r w:rsidR="00E03388">
        <w:rPr>
          <w:color w:val="000000" w:themeColor="text1"/>
        </w:rPr>
        <w:t xml:space="preserve">, </w:t>
      </w:r>
      <w:r w:rsidR="00BE156B">
        <w:rPr>
          <w:color w:val="000000" w:themeColor="text1"/>
        </w:rPr>
        <w:t xml:space="preserve">and </w:t>
      </w:r>
      <w:r w:rsidR="00E03388">
        <w:rPr>
          <w:color w:val="000000" w:themeColor="text1"/>
        </w:rPr>
        <w:t xml:space="preserve">the </w:t>
      </w:r>
      <w:r w:rsidR="00BE156B">
        <w:rPr>
          <w:color w:val="000000" w:themeColor="text1"/>
        </w:rPr>
        <w:t>sixth simple-effect test on the business investment scenario was marginally significant,</w:t>
      </w:r>
      <w:r w:rsidR="00E03388">
        <w:rPr>
          <w:color w:val="000000" w:themeColor="text1"/>
        </w:rPr>
        <w:t xml:space="preserve"> </w:t>
      </w:r>
      <w:r w:rsidR="00E03388" w:rsidRPr="00931A48">
        <w:rPr>
          <w:i/>
          <w:iCs/>
          <w:color w:val="000000" w:themeColor="text1"/>
        </w:rPr>
        <w:t>p</w:t>
      </w:r>
      <w:r w:rsidR="00E03388">
        <w:rPr>
          <w:color w:val="000000" w:themeColor="text1"/>
        </w:rPr>
        <w:t xml:space="preserve"> = .051</w:t>
      </w:r>
      <w:r w:rsidR="00942E20" w:rsidRPr="00942E20">
        <w:rPr>
          <w:color w:val="000000" w:themeColor="text1"/>
        </w:rPr>
        <w:t>.</w:t>
      </w:r>
      <w:r w:rsidR="00942E20" w:rsidDel="00942E20">
        <w:rPr>
          <w:color w:val="000000" w:themeColor="text1"/>
        </w:rPr>
        <w:t xml:space="preserve"> </w:t>
      </w:r>
      <w:r>
        <w:rPr>
          <w:color w:val="000000" w:themeColor="text1"/>
        </w:rPr>
        <w:t xml:space="preserve">Figure </w:t>
      </w:r>
      <w:r w:rsidR="00780294">
        <w:rPr>
          <w:color w:val="000000" w:themeColor="text1"/>
        </w:rPr>
        <w:t>2</w:t>
      </w:r>
      <w:r>
        <w:rPr>
          <w:color w:val="000000" w:themeColor="text1"/>
        </w:rPr>
        <w:t xml:space="preserve"> </w:t>
      </w:r>
      <w:r>
        <w:t xml:space="preserve">displays information about the </w:t>
      </w:r>
      <w:r w:rsidR="00942E20">
        <w:t>proportions of participants who gave various prescriptions as a function of wording.</w:t>
      </w:r>
      <w:r>
        <w:t xml:space="preserve"> Clearly, there are individual differences in the sorts of prescriptions people make, but </w:t>
      </w:r>
      <w:r w:rsidR="003C66C1">
        <w:t>it</w:t>
      </w:r>
      <w:r w:rsidR="00780294">
        <w:t xml:space="preserve"> is</w:t>
      </w:r>
      <w:r w:rsidR="003C66C1">
        <w:t xml:space="preserve"> just as clear that how one asks for a prescription has </w:t>
      </w:r>
      <w:r w:rsidR="00780294">
        <w:t xml:space="preserve">a </w:t>
      </w:r>
      <w:r w:rsidR="003C66C1">
        <w:t>substantial effect on answers. W</w:t>
      </w:r>
      <w:r w:rsidR="00183DC0">
        <w:t>hen asked for prescriptions using the original wording from Armor et al. (2008)</w:t>
      </w:r>
      <w:r w:rsidR="00780294">
        <w:t xml:space="preserve">, </w:t>
      </w:r>
      <w:r>
        <w:t>the modal</w:t>
      </w:r>
      <w:r w:rsidR="003C66C1">
        <w:t xml:space="preserve"> response was optimism</w:t>
      </w:r>
      <w:r w:rsidR="007430E4">
        <w:t xml:space="preserve"> (53% of responses)</w:t>
      </w:r>
      <w:r w:rsidR="003C66C1">
        <w:t xml:space="preserve">, but when asked with the </w:t>
      </w:r>
      <w:r w:rsidR="00CE17F9">
        <w:t xml:space="preserve">new </w:t>
      </w:r>
      <w:r w:rsidR="003C66C1">
        <w:t>wording</w:t>
      </w:r>
      <w:r w:rsidR="00CE17F9">
        <w:t xml:space="preserve"> that focused on likelihood estimation</w:t>
      </w:r>
      <w:r w:rsidR="003C66C1">
        <w:t>, the answers reflecting optimism were relatively rare (</w:t>
      </w:r>
      <w:r w:rsidR="007430E4">
        <w:t>20</w:t>
      </w:r>
      <w:r w:rsidR="003C66C1">
        <w:t xml:space="preserve">% of </w:t>
      </w:r>
      <w:r w:rsidR="006048C6">
        <w:t>responses</w:t>
      </w:r>
      <w:r w:rsidR="003C66C1">
        <w:t>). The answers reflected accuracy or pessimism about equally often.</w:t>
      </w:r>
    </w:p>
    <w:p w14:paraId="119399D5" w14:textId="7CCEF2DD" w:rsidR="00CC7CB0" w:rsidRDefault="00FB4818" w:rsidP="002936DE">
      <w:pPr>
        <w:spacing w:line="480" w:lineRule="auto"/>
        <w:jc w:val="center"/>
      </w:pPr>
      <w:r>
        <w:rPr>
          <w:noProof/>
        </w:rPr>
        <w:lastRenderedPageBreak/>
        <w:drawing>
          <wp:inline distT="0" distB="0" distL="0" distR="0" wp14:anchorId="2A480E55" wp14:editId="7B765F15">
            <wp:extent cx="4907559" cy="4572000"/>
            <wp:effectExtent l="0" t="0" r="0" b="0"/>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07559" cy="4572000"/>
                    </a:xfrm>
                    <a:prstGeom prst="rect">
                      <a:avLst/>
                    </a:prstGeom>
                  </pic:spPr>
                </pic:pic>
              </a:graphicData>
            </a:graphic>
          </wp:inline>
        </w:drawing>
      </w:r>
    </w:p>
    <w:p w14:paraId="79C53F1D" w14:textId="20E3EB40" w:rsidR="00BF2728" w:rsidRDefault="00CC7CB0" w:rsidP="00D80DF6">
      <w:pPr>
        <w:widowControl w:val="0"/>
        <w:rPr>
          <w:b/>
          <w:bCs/>
        </w:rPr>
      </w:pPr>
      <w:r w:rsidRPr="00931A48">
        <w:rPr>
          <w:i/>
          <w:iCs/>
          <w:sz w:val="21"/>
          <w:szCs w:val="21"/>
        </w:rPr>
        <w:t>Figure 2.</w:t>
      </w:r>
      <w:r w:rsidR="004B1624" w:rsidRPr="00931A48">
        <w:rPr>
          <w:i/>
          <w:iCs/>
          <w:sz w:val="21"/>
          <w:szCs w:val="21"/>
        </w:rPr>
        <w:t xml:space="preserve"> </w:t>
      </w:r>
      <w:r w:rsidRPr="00931A48">
        <w:rPr>
          <w:sz w:val="21"/>
          <w:szCs w:val="21"/>
        </w:rPr>
        <w:t>Proportion of prescription responses</w:t>
      </w:r>
      <w:r w:rsidR="004B1624" w:rsidRPr="00931A48">
        <w:rPr>
          <w:sz w:val="21"/>
          <w:szCs w:val="21"/>
        </w:rPr>
        <w:t xml:space="preserve"> (total </w:t>
      </w:r>
      <w:r w:rsidR="004B1624" w:rsidRPr="00931A48">
        <w:rPr>
          <w:i/>
          <w:iCs/>
          <w:sz w:val="21"/>
          <w:szCs w:val="21"/>
        </w:rPr>
        <w:t>N</w:t>
      </w:r>
      <w:r w:rsidR="004B1624" w:rsidRPr="00931A48">
        <w:rPr>
          <w:sz w:val="21"/>
          <w:szCs w:val="21"/>
        </w:rPr>
        <w:t xml:space="preserve"> of responses = 988) per prescription wording for pessimism, accuracy, and optimism. The category of pessimism/underestimation—the </w:t>
      </w:r>
      <w:r w:rsidR="001D0151">
        <w:rPr>
          <w:sz w:val="21"/>
          <w:szCs w:val="21"/>
        </w:rPr>
        <w:t xml:space="preserve">2 </w:t>
      </w:r>
      <w:r w:rsidR="004B1624" w:rsidRPr="00931A48">
        <w:rPr>
          <w:sz w:val="21"/>
          <w:szCs w:val="21"/>
        </w:rPr>
        <w:t xml:space="preserve">leftmost bars—reflects responses of either a -2 (extremely pessimistic/greatly underestimate) or a -1 (moderately pessimistic/slightly underestimate). The category of optimism/overestimation—the </w:t>
      </w:r>
      <w:r w:rsidR="001D0151">
        <w:rPr>
          <w:sz w:val="21"/>
          <w:szCs w:val="21"/>
        </w:rPr>
        <w:t xml:space="preserve">2 </w:t>
      </w:r>
      <w:r w:rsidR="004B1624" w:rsidRPr="00931A48">
        <w:rPr>
          <w:sz w:val="21"/>
          <w:szCs w:val="21"/>
        </w:rPr>
        <w:t>rightmost bars—reflects responses of either a +1 (moderately optimistic/slightly overestimate</w:t>
      </w:r>
      <w:r w:rsidR="001D0151">
        <w:rPr>
          <w:sz w:val="21"/>
          <w:szCs w:val="21"/>
        </w:rPr>
        <w:t xml:space="preserve"> or </w:t>
      </w:r>
      <w:r w:rsidR="001D0151" w:rsidRPr="00DE0F12">
        <w:rPr>
          <w:sz w:val="21"/>
          <w:szCs w:val="21"/>
        </w:rPr>
        <w:t>+2 (extremely optimistic/greatly overestimate</w:t>
      </w:r>
      <w:r w:rsidR="004B1624" w:rsidRPr="00931A48">
        <w:rPr>
          <w:sz w:val="21"/>
          <w:szCs w:val="21"/>
        </w:rPr>
        <w:t>). The category of accuracy/accurate estimation reflects a response of 0.</w:t>
      </w:r>
    </w:p>
    <w:p w14:paraId="56FD1CD8" w14:textId="77777777" w:rsidR="00834CE3" w:rsidRDefault="00834CE3" w:rsidP="002936DE">
      <w:pPr>
        <w:spacing w:line="480" w:lineRule="auto"/>
        <w:jc w:val="center"/>
        <w:rPr>
          <w:b/>
          <w:bCs/>
        </w:rPr>
      </w:pPr>
    </w:p>
    <w:p w14:paraId="30F78D30" w14:textId="69F42A06" w:rsidR="00204661" w:rsidRDefault="00284799" w:rsidP="002936DE">
      <w:pPr>
        <w:spacing w:line="480" w:lineRule="auto"/>
        <w:jc w:val="center"/>
        <w:rPr>
          <w:b/>
          <w:bCs/>
        </w:rPr>
      </w:pPr>
      <w:r>
        <w:rPr>
          <w:b/>
          <w:bCs/>
        </w:rPr>
        <w:t>Study 2</w:t>
      </w:r>
    </w:p>
    <w:p w14:paraId="2D4DBEEF" w14:textId="2E203133" w:rsidR="0081782A" w:rsidRDefault="00F20414" w:rsidP="002936DE">
      <w:pPr>
        <w:spacing w:line="480" w:lineRule="auto"/>
        <w:ind w:firstLine="720"/>
      </w:pPr>
      <w:r>
        <w:t xml:space="preserve">Study 1 demonstrated that the way prescriptions are solicitated has a big influence of people’s prescriptions. </w:t>
      </w:r>
      <w:r w:rsidR="00A84407">
        <w:t>Studies 2 and 3</w:t>
      </w:r>
      <w:r w:rsidR="003C66C1">
        <w:t xml:space="preserve"> address</w:t>
      </w:r>
      <w:r w:rsidR="00C70AC3">
        <w:t>ed</w:t>
      </w:r>
      <w:r w:rsidR="003C66C1">
        <w:t xml:space="preserve"> why the wording of the prescription questions in Study 1 had</w:t>
      </w:r>
      <w:r w:rsidR="00B900AE">
        <w:t xml:space="preserve"> such a </w:t>
      </w:r>
      <w:r w:rsidR="003C66C1">
        <w:t xml:space="preserve">strong impact. </w:t>
      </w:r>
      <w:r w:rsidR="007C101C">
        <w:t>Table 1 list</w:t>
      </w:r>
      <w:r w:rsidR="00BB04D5">
        <w:t>s</w:t>
      </w:r>
      <w:r w:rsidR="007C101C">
        <w:t xml:space="preserve"> </w:t>
      </w:r>
      <w:r w:rsidR="00BB04D5">
        <w:t xml:space="preserve">three potentially crucial differences between </w:t>
      </w:r>
      <w:r w:rsidR="007C101C">
        <w:t>the two wording</w:t>
      </w:r>
      <w:r w:rsidR="00BB04D5">
        <w:t xml:space="preserve"> condition</w:t>
      </w:r>
      <w:r w:rsidR="007C101C">
        <w:t>s</w:t>
      </w:r>
      <w:r w:rsidR="00BB04D5">
        <w:t xml:space="preserve"> (see Columns 3-5). </w:t>
      </w:r>
      <w:r w:rsidR="001C4898">
        <w:t xml:space="preserve">The first </w:t>
      </w:r>
      <w:r w:rsidR="00B01B98">
        <w:t xml:space="preserve">was </w:t>
      </w:r>
      <w:r w:rsidR="00227036">
        <w:t xml:space="preserve">that the </w:t>
      </w:r>
      <w:r w:rsidR="00185793">
        <w:t xml:space="preserve">key terms and </w:t>
      </w:r>
      <w:r w:rsidR="00227036">
        <w:t xml:space="preserve">anchor labels </w:t>
      </w:r>
      <w:r w:rsidR="00185793">
        <w:t xml:space="preserve">on the </w:t>
      </w:r>
      <w:r w:rsidR="00227036">
        <w:t xml:space="preserve">original </w:t>
      </w:r>
      <w:r w:rsidR="00185793">
        <w:t>wording refer</w:t>
      </w:r>
      <w:r w:rsidR="00B01B98">
        <w:t>red</w:t>
      </w:r>
      <w:r w:rsidR="00185793">
        <w:t xml:space="preserve"> to being </w:t>
      </w:r>
      <w:r w:rsidR="00227036">
        <w:t>optimistic</w:t>
      </w:r>
      <w:r w:rsidR="00CF4EF2">
        <w:t>/</w:t>
      </w:r>
      <w:r w:rsidR="00227036">
        <w:t>pessimistic</w:t>
      </w:r>
      <w:r w:rsidR="00185793">
        <w:t xml:space="preserve"> whereas the new wording refers </w:t>
      </w:r>
      <w:r w:rsidR="00185793">
        <w:lastRenderedPageBreak/>
        <w:t>to under</w:t>
      </w:r>
      <w:r w:rsidR="00CF4EF2">
        <w:t>/</w:t>
      </w:r>
      <w:r w:rsidR="00185793">
        <w:t>overestimating.</w:t>
      </w:r>
      <w:r w:rsidR="007A3936">
        <w:t xml:space="preserve"> We have already discussed why this might matter</w:t>
      </w:r>
      <w:r w:rsidR="00741FA1">
        <w:t>—the former terms are open to a variety of interpretations</w:t>
      </w:r>
      <w:r w:rsidR="007A3936">
        <w:t xml:space="preserve">. </w:t>
      </w:r>
    </w:p>
    <w:p w14:paraId="56C18DF3" w14:textId="3B4EF4A2" w:rsidR="00883A57" w:rsidRPr="00883A57" w:rsidRDefault="00B26281" w:rsidP="002936DE">
      <w:pPr>
        <w:spacing w:line="480" w:lineRule="auto"/>
        <w:ind w:firstLine="720"/>
      </w:pPr>
      <w:r>
        <w:t>A</w:t>
      </w:r>
      <w:r w:rsidR="0081782A">
        <w:t xml:space="preserve"> second</w:t>
      </w:r>
      <w:r>
        <w:t xml:space="preserve">, related </w:t>
      </w:r>
      <w:r w:rsidR="0081782A">
        <w:t>difference was that in the new</w:t>
      </w:r>
      <w:r w:rsidR="0012692A">
        <w:t>, estimation</w:t>
      </w:r>
      <w:r w:rsidR="0081782A">
        <w:t xml:space="preserve">-wording condition, we focused people on thoughts rather than feelings. Not only did we ask about “estimates,” which presumably reflect cognitive beliefs, we also explicitly </w:t>
      </w:r>
      <w:r w:rsidR="00CF4EF2">
        <w:t xml:space="preserve">asked </w:t>
      </w:r>
      <w:r w:rsidR="00B01B98">
        <w:t>“</w:t>
      </w:r>
      <w:r w:rsidR="0081782A" w:rsidRPr="00CF4EF2">
        <w:rPr>
          <w:bCs/>
          <w:i/>
          <w:iCs/>
        </w:rPr>
        <w:t>what way of thinking would be advisable…</w:t>
      </w:r>
      <w:r w:rsidR="00CF4EF2" w:rsidRPr="00F22194">
        <w:rPr>
          <w:i/>
          <w:iCs/>
        </w:rPr>
        <w:t>”</w:t>
      </w:r>
      <w:r w:rsidR="0081782A">
        <w:t xml:space="preserve"> </w:t>
      </w:r>
      <w:r w:rsidR="00324BCB">
        <w:t xml:space="preserve">The original wording </w:t>
      </w:r>
      <w:r w:rsidR="007E7B1A">
        <w:t xml:space="preserve">from </w:t>
      </w:r>
      <w:r w:rsidR="007E7B1A" w:rsidRPr="00C151FC">
        <w:t>Armor et al.</w:t>
      </w:r>
      <w:r w:rsidR="007E7B1A">
        <w:t xml:space="preserve"> </w:t>
      </w:r>
      <w:r w:rsidR="00B01B98">
        <w:t>(</w:t>
      </w:r>
      <w:r w:rsidR="007E7B1A" w:rsidRPr="00C151FC">
        <w:t>2008)</w:t>
      </w:r>
      <w:r w:rsidR="007E7B1A">
        <w:t xml:space="preserve"> </w:t>
      </w:r>
      <w:r w:rsidR="00324BCB">
        <w:t>does</w:t>
      </w:r>
      <w:r w:rsidR="00E855E7">
        <w:t xml:space="preserve"> not </w:t>
      </w:r>
      <w:r w:rsidR="00883A57">
        <w:t xml:space="preserve">overtly favor </w:t>
      </w:r>
      <w:r w:rsidR="00324BCB">
        <w:t xml:space="preserve">thinking or feeling, but </w:t>
      </w:r>
      <w:r w:rsidR="007E7B1A">
        <w:t xml:space="preserve">we thought it was at least possible </w:t>
      </w:r>
      <w:r w:rsidR="00324BCB">
        <w:t>that it connotes an interest in feeling</w:t>
      </w:r>
      <w:r w:rsidR="00324BCB" w:rsidRPr="00B5341A">
        <w:t>s.</w:t>
      </w:r>
      <w:r w:rsidR="007E7B1A" w:rsidRPr="00883A57">
        <w:t xml:space="preserve"> It asked how the protagonist should “be” rather than</w:t>
      </w:r>
      <w:r w:rsidR="00883A57" w:rsidRPr="00883A57">
        <w:t xml:space="preserve"> </w:t>
      </w:r>
      <w:r w:rsidR="00003983">
        <w:t>“think”.</w:t>
      </w:r>
    </w:p>
    <w:p w14:paraId="4718A239" w14:textId="058C1425" w:rsidR="001F6383" w:rsidRDefault="00883A57" w:rsidP="002936DE">
      <w:pPr>
        <w:pStyle w:val="CommentText"/>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third difference was that </w:t>
      </w:r>
      <w:r w:rsidR="001F6383">
        <w:rPr>
          <w:rFonts w:ascii="Times New Roman" w:hAnsi="Times New Roman" w:cs="Times New Roman"/>
          <w:sz w:val="24"/>
          <w:szCs w:val="24"/>
        </w:rPr>
        <w:t>t</w:t>
      </w:r>
      <w:r w:rsidR="00336207">
        <w:rPr>
          <w:rFonts w:ascii="Times New Roman" w:hAnsi="Times New Roman" w:cs="Times New Roman"/>
          <w:sz w:val="24"/>
          <w:szCs w:val="24"/>
        </w:rPr>
        <w:t>he original wording included “</w:t>
      </w:r>
      <w:r w:rsidR="00336207" w:rsidRPr="00883A57">
        <w:rPr>
          <w:rFonts w:ascii="Times New Roman" w:hAnsi="Times New Roman" w:cs="Times New Roman"/>
          <w:sz w:val="24"/>
          <w:szCs w:val="24"/>
        </w:rPr>
        <w:t>would it be best for</w:t>
      </w:r>
      <w:r w:rsidR="00AF60D9">
        <w:rPr>
          <w:rFonts w:ascii="Times New Roman" w:hAnsi="Times New Roman" w:cs="Times New Roman"/>
          <w:sz w:val="24"/>
          <w:szCs w:val="24"/>
        </w:rPr>
        <w:t>…</w:t>
      </w:r>
      <w:r w:rsidR="00336207">
        <w:rPr>
          <w:rFonts w:ascii="Times New Roman" w:hAnsi="Times New Roman" w:cs="Times New Roman"/>
          <w:sz w:val="24"/>
          <w:szCs w:val="24"/>
        </w:rPr>
        <w:t>” and “</w:t>
      </w:r>
      <w:r w:rsidR="00336207" w:rsidRPr="00883A57">
        <w:rPr>
          <w:rFonts w:ascii="Times New Roman" w:hAnsi="Times New Roman" w:cs="Times New Roman"/>
          <w:sz w:val="24"/>
          <w:szCs w:val="24"/>
        </w:rPr>
        <w:t>what is the ideal prediction</w:t>
      </w:r>
      <w:r w:rsidR="00AF60D9">
        <w:rPr>
          <w:rFonts w:ascii="Times New Roman" w:hAnsi="Times New Roman" w:cs="Times New Roman"/>
          <w:sz w:val="24"/>
          <w:szCs w:val="24"/>
        </w:rPr>
        <w:t>…</w:t>
      </w:r>
      <w:r w:rsidR="00336207" w:rsidRPr="00883A57">
        <w:rPr>
          <w:rFonts w:ascii="Times New Roman" w:hAnsi="Times New Roman" w:cs="Times New Roman"/>
          <w:sz w:val="24"/>
          <w:szCs w:val="24"/>
        </w:rPr>
        <w:t>?</w:t>
      </w:r>
      <w:r w:rsidR="00336207">
        <w:rPr>
          <w:rFonts w:ascii="Times New Roman" w:hAnsi="Times New Roman" w:cs="Times New Roman"/>
          <w:sz w:val="24"/>
          <w:szCs w:val="24"/>
        </w:rPr>
        <w:t xml:space="preserve">” </w:t>
      </w:r>
      <w:r w:rsidR="00C57E20">
        <w:rPr>
          <w:rFonts w:ascii="Times New Roman" w:hAnsi="Times New Roman" w:cs="Times New Roman"/>
          <w:sz w:val="24"/>
          <w:szCs w:val="24"/>
        </w:rPr>
        <w:t>As noted earlier, w</w:t>
      </w:r>
      <w:r w:rsidR="00336207">
        <w:rPr>
          <w:rFonts w:ascii="Times New Roman" w:hAnsi="Times New Roman" w:cs="Times New Roman"/>
          <w:sz w:val="24"/>
          <w:szCs w:val="24"/>
        </w:rPr>
        <w:t xml:space="preserve">e thought “best” and “ideal” </w:t>
      </w:r>
      <w:r w:rsidR="00C70AC3">
        <w:rPr>
          <w:rFonts w:ascii="Times New Roman" w:hAnsi="Times New Roman" w:cs="Times New Roman"/>
          <w:sz w:val="24"/>
          <w:szCs w:val="24"/>
        </w:rPr>
        <w:t>were potentially biasing</w:t>
      </w:r>
      <w:r w:rsidR="00DC1B65">
        <w:rPr>
          <w:rFonts w:ascii="Times New Roman" w:hAnsi="Times New Roman" w:cs="Times New Roman"/>
          <w:sz w:val="24"/>
          <w:szCs w:val="24"/>
        </w:rPr>
        <w:t xml:space="preserve"> in an optimistic direction</w:t>
      </w:r>
      <w:r w:rsidR="001F6383">
        <w:rPr>
          <w:rFonts w:ascii="Times New Roman" w:hAnsi="Times New Roman" w:cs="Times New Roman"/>
          <w:sz w:val="24"/>
          <w:szCs w:val="24"/>
        </w:rPr>
        <w:t xml:space="preserve">. The </w:t>
      </w:r>
      <w:r w:rsidR="00B900AE">
        <w:rPr>
          <w:rFonts w:ascii="Times New Roman" w:hAnsi="Times New Roman" w:cs="Times New Roman"/>
          <w:sz w:val="24"/>
          <w:szCs w:val="24"/>
        </w:rPr>
        <w:t>new</w:t>
      </w:r>
      <w:r w:rsidR="00EA2A9B">
        <w:rPr>
          <w:rFonts w:ascii="Times New Roman" w:hAnsi="Times New Roman" w:cs="Times New Roman"/>
          <w:sz w:val="24"/>
          <w:szCs w:val="24"/>
        </w:rPr>
        <w:t xml:space="preserve"> </w:t>
      </w:r>
      <w:r w:rsidR="001F6383">
        <w:rPr>
          <w:rFonts w:ascii="Times New Roman" w:hAnsi="Times New Roman" w:cs="Times New Roman"/>
          <w:sz w:val="24"/>
          <w:szCs w:val="24"/>
        </w:rPr>
        <w:t>wording used alternative phrases</w:t>
      </w:r>
      <w:r w:rsidR="00E855E7">
        <w:rPr>
          <w:rFonts w:ascii="Times New Roman" w:hAnsi="Times New Roman" w:cs="Times New Roman"/>
          <w:sz w:val="24"/>
          <w:szCs w:val="24"/>
        </w:rPr>
        <w:t xml:space="preserve"> (</w:t>
      </w:r>
      <w:r w:rsidR="001F6383">
        <w:rPr>
          <w:rFonts w:ascii="Times New Roman" w:hAnsi="Times New Roman" w:cs="Times New Roman"/>
          <w:sz w:val="24"/>
          <w:szCs w:val="24"/>
        </w:rPr>
        <w:t>“</w:t>
      </w:r>
      <w:r w:rsidR="001F6383" w:rsidRPr="001F6383">
        <w:rPr>
          <w:rFonts w:ascii="Times New Roman" w:hAnsi="Times New Roman" w:cs="Times New Roman"/>
          <w:sz w:val="24"/>
          <w:szCs w:val="24"/>
        </w:rPr>
        <w:t>how should</w:t>
      </w:r>
      <w:r w:rsidR="001F6383">
        <w:rPr>
          <w:rFonts w:ascii="Times New Roman" w:hAnsi="Times New Roman" w:cs="Times New Roman"/>
          <w:sz w:val="24"/>
          <w:szCs w:val="24"/>
        </w:rPr>
        <w:t>...</w:t>
      </w:r>
      <w:r w:rsidR="00E855E7">
        <w:rPr>
          <w:rFonts w:ascii="Times New Roman" w:hAnsi="Times New Roman" w:cs="Times New Roman"/>
          <w:sz w:val="24"/>
          <w:szCs w:val="24"/>
        </w:rPr>
        <w:t>?”).</w:t>
      </w:r>
    </w:p>
    <w:p w14:paraId="7BA2AFE7" w14:textId="69ED84F0" w:rsidR="008438B6" w:rsidRPr="00377A6F" w:rsidRDefault="000606C7" w:rsidP="00377A6F">
      <w:pPr>
        <w:spacing w:line="480" w:lineRule="auto"/>
        <w:ind w:firstLine="720"/>
      </w:pPr>
      <w:r>
        <w:t>Study 2 took a step toward determining which of these differences was the crucial distinction</w:t>
      </w:r>
      <w:r w:rsidR="00735375">
        <w:t xml:space="preserve"> by using </w:t>
      </w:r>
      <w:r w:rsidR="00C151FC" w:rsidRPr="006B69FD">
        <w:t xml:space="preserve">two prescription measures—one </w:t>
      </w:r>
      <w:r>
        <w:t>about</w:t>
      </w:r>
      <w:r w:rsidR="00C151FC" w:rsidRPr="006B69FD">
        <w:t xml:space="preserve"> how the protagonists should feel and one </w:t>
      </w:r>
      <w:r>
        <w:t xml:space="preserve">about </w:t>
      </w:r>
      <w:r w:rsidR="00C151FC" w:rsidRPr="006B69FD">
        <w:t xml:space="preserve">how they should think. </w:t>
      </w:r>
      <w:r w:rsidR="00C151FC" w:rsidRPr="00C151FC">
        <w:t>Critically</w:t>
      </w:r>
      <w:r w:rsidR="00C151FC" w:rsidRPr="00D665C1">
        <w:t xml:space="preserve">, </w:t>
      </w:r>
      <w:r w:rsidR="00C151FC">
        <w:t xml:space="preserve">we kept </w:t>
      </w:r>
      <w:r w:rsidR="00C151FC" w:rsidRPr="00D665C1">
        <w:t xml:space="preserve">the </w:t>
      </w:r>
      <w:r>
        <w:t>key terms and anchors</w:t>
      </w:r>
      <w:r w:rsidR="0056486F">
        <w:t xml:space="preserve"> </w:t>
      </w:r>
      <w:r w:rsidR="00C151FC">
        <w:t xml:space="preserve">consistent </w:t>
      </w:r>
      <w:r w:rsidR="00C151FC" w:rsidRPr="00E1638D">
        <w:t>for both scales</w:t>
      </w:r>
      <w:r w:rsidR="00C151FC">
        <w:t xml:space="preserve">. </w:t>
      </w:r>
      <w:r w:rsidR="00B2002E">
        <w:t xml:space="preserve">We also removed </w:t>
      </w:r>
      <w:r w:rsidR="00CF4EF2">
        <w:t xml:space="preserve">a </w:t>
      </w:r>
      <w:r w:rsidR="000C48FA">
        <w:t>potential c</w:t>
      </w:r>
      <w:r w:rsidR="00B2002E">
        <w:t>onfound</w:t>
      </w:r>
      <w:r w:rsidR="000C48FA">
        <w:t xml:space="preserve"> regarding the words “best” and “idea</w:t>
      </w:r>
      <w:r w:rsidR="00B01B98">
        <w:t>l</w:t>
      </w:r>
      <w:r w:rsidR="000C48FA">
        <w:t>.”</w:t>
      </w:r>
      <w:r w:rsidR="00B01B98">
        <w:t xml:space="preserve"> </w:t>
      </w:r>
      <w:r w:rsidR="00C151FC" w:rsidRPr="00D665C1">
        <w:t xml:space="preserve">If </w:t>
      </w:r>
      <w:r w:rsidR="00B2002E">
        <w:t xml:space="preserve">the crucial distinction between the </w:t>
      </w:r>
      <w:r w:rsidR="0056486F">
        <w:t xml:space="preserve">conditions </w:t>
      </w:r>
      <w:r w:rsidR="00B2002E">
        <w:t xml:space="preserve">in Study 1 was </w:t>
      </w:r>
      <w:r w:rsidR="00CF4EF2">
        <w:t xml:space="preserve">that </w:t>
      </w:r>
      <w:r w:rsidR="00B2002E">
        <w:t xml:space="preserve">the original wording solicited prescriptions for </w:t>
      </w:r>
      <w:proofErr w:type="gramStart"/>
      <w:r w:rsidR="00B2002E">
        <w:t>feelings</w:t>
      </w:r>
      <w:proofErr w:type="gramEnd"/>
      <w:r w:rsidR="00B2002E">
        <w:t xml:space="preserve"> but the </w:t>
      </w:r>
      <w:r w:rsidR="00B900AE">
        <w:t>new</w:t>
      </w:r>
      <w:r w:rsidR="00EA2A9B">
        <w:t xml:space="preserve"> </w:t>
      </w:r>
      <w:r w:rsidR="00B2002E">
        <w:t xml:space="preserve">wording asked about thoughts, then we should see a significant difference in prescriptions for feelings vs. thoughts in Study 2.  </w:t>
      </w:r>
    </w:p>
    <w:p w14:paraId="453EDFD8" w14:textId="57477E81" w:rsidR="00511DC1" w:rsidRPr="006B69FD" w:rsidRDefault="00511DC1" w:rsidP="002936DE">
      <w:pPr>
        <w:spacing w:line="480" w:lineRule="auto"/>
        <w:rPr>
          <w:b/>
          <w:bCs/>
          <w:color w:val="000000" w:themeColor="text1"/>
        </w:rPr>
      </w:pPr>
      <w:r w:rsidRPr="006B69FD">
        <w:rPr>
          <w:b/>
          <w:bCs/>
          <w:color w:val="000000" w:themeColor="text1"/>
        </w:rPr>
        <w:t>Method</w:t>
      </w:r>
    </w:p>
    <w:p w14:paraId="6CCCFBE5" w14:textId="21A6FC2B" w:rsidR="00FD3C03" w:rsidRPr="00377A6F" w:rsidRDefault="00FD3C03" w:rsidP="00377A6F">
      <w:pPr>
        <w:spacing w:line="480" w:lineRule="auto"/>
        <w:ind w:firstLine="720"/>
      </w:pPr>
      <w:r>
        <w:t xml:space="preserve">Study 2 mimicked Study 1 by using the same scenarios, </w:t>
      </w:r>
      <w:r w:rsidR="007A0CBF">
        <w:t xml:space="preserve">versions, </w:t>
      </w:r>
      <w:r>
        <w:t xml:space="preserve">counterbalancing, and procedure, but had two key changes. First, </w:t>
      </w:r>
      <w:r w:rsidR="007A0CBF">
        <w:t xml:space="preserve">we still used a wording manipulation for our prescription questions, but this time one question </w:t>
      </w:r>
      <w:r>
        <w:t>ask</w:t>
      </w:r>
      <w:r w:rsidR="00C80ED4">
        <w:t>ed</w:t>
      </w:r>
      <w:r>
        <w:t xml:space="preserve"> how the protagonist should feel and one </w:t>
      </w:r>
      <w:r w:rsidR="00C80ED4">
        <w:lastRenderedPageBreak/>
        <w:t xml:space="preserve">asked </w:t>
      </w:r>
      <w:r>
        <w:t xml:space="preserve">how the protagonist should think. Second, </w:t>
      </w:r>
      <w:r w:rsidR="00C80ED4">
        <w:t xml:space="preserve">a given </w:t>
      </w:r>
      <w:r>
        <w:t xml:space="preserve">participant answered </w:t>
      </w:r>
      <w:r w:rsidR="007A0CBF">
        <w:t xml:space="preserve">both </w:t>
      </w:r>
      <w:r>
        <w:t>prescription questions for each scenario.</w:t>
      </w:r>
      <w:r w:rsidR="00904AD4">
        <w:t xml:space="preserve"> From </w:t>
      </w:r>
      <w:r w:rsidR="00295E5C">
        <w:t xml:space="preserve">the </w:t>
      </w:r>
      <w:r w:rsidR="00904AD4">
        <w:t xml:space="preserve">design of Study 1, it is unclear if a given person would simultaneously advocate for both optimism and underestimation. Although we did not ask an estimation prescription in Study 2, we were interested in whether individuals would simultaneously endorse two different prescriptions for the same situation.  </w:t>
      </w:r>
    </w:p>
    <w:p w14:paraId="64C7F5B5" w14:textId="7531EA5B" w:rsidR="00A414A2" w:rsidRDefault="00A414A2" w:rsidP="002936DE">
      <w:pPr>
        <w:spacing w:line="480" w:lineRule="auto"/>
        <w:rPr>
          <w:b/>
          <w:bCs/>
        </w:rPr>
      </w:pPr>
      <w:r w:rsidRPr="0048255D">
        <w:rPr>
          <w:b/>
          <w:bCs/>
          <w:i/>
          <w:iCs/>
        </w:rPr>
        <w:t xml:space="preserve">Design, </w:t>
      </w:r>
      <w:r>
        <w:rPr>
          <w:b/>
          <w:bCs/>
          <w:i/>
          <w:iCs/>
        </w:rPr>
        <w:t>P</w:t>
      </w:r>
      <w:r w:rsidRPr="0048255D">
        <w:rPr>
          <w:b/>
          <w:bCs/>
          <w:i/>
          <w:iCs/>
        </w:rPr>
        <w:t xml:space="preserve">articipants, and </w:t>
      </w:r>
      <w:r>
        <w:rPr>
          <w:b/>
          <w:bCs/>
          <w:i/>
          <w:iCs/>
        </w:rPr>
        <w:t>S</w:t>
      </w:r>
      <w:r w:rsidRPr="0048255D">
        <w:rPr>
          <w:b/>
          <w:bCs/>
          <w:i/>
          <w:iCs/>
        </w:rPr>
        <w:t xml:space="preserve">tatistical </w:t>
      </w:r>
      <w:r>
        <w:rPr>
          <w:b/>
          <w:bCs/>
          <w:i/>
          <w:iCs/>
        </w:rPr>
        <w:t>P</w:t>
      </w:r>
      <w:r w:rsidRPr="0048255D">
        <w:rPr>
          <w:b/>
          <w:bCs/>
          <w:i/>
          <w:iCs/>
        </w:rPr>
        <w:t>owe</w:t>
      </w:r>
      <w:r>
        <w:rPr>
          <w:b/>
          <w:bCs/>
          <w:i/>
          <w:iCs/>
        </w:rPr>
        <w:t>r</w:t>
      </w:r>
      <w:r>
        <w:rPr>
          <w:b/>
          <w:bCs/>
        </w:rPr>
        <w:t xml:space="preserve"> </w:t>
      </w:r>
    </w:p>
    <w:p w14:paraId="16F8954E" w14:textId="21DF2A29" w:rsidR="00511DC1" w:rsidRPr="004F0117" w:rsidRDefault="00511DC1" w:rsidP="002936DE">
      <w:pPr>
        <w:spacing w:line="480" w:lineRule="auto"/>
        <w:ind w:firstLine="720"/>
        <w:rPr>
          <w:color w:val="000000" w:themeColor="text1"/>
        </w:rPr>
      </w:pPr>
      <w:r>
        <w:t xml:space="preserve">Study </w:t>
      </w:r>
      <w:r w:rsidR="00FD3C03">
        <w:t>2</w:t>
      </w:r>
      <w:r>
        <w:t xml:space="preserve"> </w:t>
      </w:r>
      <w:r w:rsidR="00C80ED4">
        <w:t xml:space="preserve">used </w:t>
      </w:r>
      <w:r>
        <w:t>a 2(Wording: thinking/feeling) x 3(Version)</w:t>
      </w:r>
      <w:r w:rsidR="00C80ED4">
        <w:t xml:space="preserve"> x 2(Order)</w:t>
      </w:r>
      <w:r>
        <w:t xml:space="preserve"> </w:t>
      </w:r>
      <w:r w:rsidR="00C80ED4">
        <w:t>mixed</w:t>
      </w:r>
      <w:r>
        <w:t xml:space="preserve"> design</w:t>
      </w:r>
      <w:r w:rsidR="00C80ED4">
        <w:t xml:space="preserve">, with order as the only between-subject variable (in addition to the same counterbalancing as in Study 1, which </w:t>
      </w:r>
      <w:r w:rsidR="00735375">
        <w:t>is discussed in the Supplementary Materials</w:t>
      </w:r>
      <w:r w:rsidR="00C80ED4">
        <w:t xml:space="preserve">). Because the </w:t>
      </w:r>
      <w:r w:rsidR="00FD5942">
        <w:t>study was run at the end of a</w:t>
      </w:r>
      <w:r w:rsidR="00C80ED4">
        <w:t xml:space="preserve"> </w:t>
      </w:r>
      <w:r w:rsidR="00FD5942">
        <w:t>school year, w</w:t>
      </w:r>
      <w:r>
        <w:t>e preregistered</w:t>
      </w:r>
      <w:r w:rsidR="00B612B6">
        <w:t xml:space="preserve"> </w:t>
      </w:r>
      <w:r w:rsidR="00FD5942">
        <w:t xml:space="preserve">both a target sample size and a date range for our data collection, indicating that data would be collected for three weeks (i.e., until the end of the semester), or until we reached 180 participants, </w:t>
      </w:r>
      <w:r w:rsidR="00FD5942" w:rsidRPr="00F549A7">
        <w:rPr>
          <w:color w:val="000000" w:themeColor="text1"/>
        </w:rPr>
        <w:t>whichever came first. This resulted in a final sample size of 124</w:t>
      </w:r>
      <w:r w:rsidRPr="00F549A7">
        <w:rPr>
          <w:color w:val="000000" w:themeColor="text1"/>
        </w:rPr>
        <w:t xml:space="preserve"> </w:t>
      </w:r>
      <w:r w:rsidRPr="00C272ED">
        <w:rPr>
          <w:color w:val="000000" w:themeColor="text1"/>
        </w:rPr>
        <w:t xml:space="preserve">University of </w:t>
      </w:r>
      <w:r w:rsidR="00FC2422">
        <w:rPr>
          <w:color w:val="000000" w:themeColor="text1"/>
        </w:rPr>
        <w:t>Iowa</w:t>
      </w:r>
      <w:r w:rsidRPr="00C272ED">
        <w:rPr>
          <w:color w:val="000000" w:themeColor="text1"/>
        </w:rPr>
        <w:t xml:space="preserve"> undergraduates (</w:t>
      </w:r>
      <w:r w:rsidR="00FD5942" w:rsidRPr="00C272ED">
        <w:rPr>
          <w:color w:val="000000" w:themeColor="text1"/>
        </w:rPr>
        <w:t xml:space="preserve">69 </w:t>
      </w:r>
      <w:r w:rsidRPr="00C272ED">
        <w:rPr>
          <w:color w:val="000000" w:themeColor="text1"/>
        </w:rPr>
        <w:t xml:space="preserve">women, </w:t>
      </w:r>
      <w:r w:rsidR="00FD5942" w:rsidRPr="00C272ED">
        <w:rPr>
          <w:color w:val="000000" w:themeColor="text1"/>
        </w:rPr>
        <w:t xml:space="preserve">54 </w:t>
      </w:r>
      <w:r w:rsidRPr="00C272ED">
        <w:rPr>
          <w:color w:val="000000" w:themeColor="text1"/>
        </w:rPr>
        <w:t xml:space="preserve">men, </w:t>
      </w:r>
      <w:r w:rsidR="00FD5942" w:rsidRPr="00C272ED">
        <w:rPr>
          <w:color w:val="000000" w:themeColor="text1"/>
        </w:rPr>
        <w:t xml:space="preserve">1 unreported, </w:t>
      </w:r>
      <w:r w:rsidRPr="00C272ED">
        <w:rPr>
          <w:i/>
          <w:iCs/>
          <w:color w:val="000000" w:themeColor="text1"/>
        </w:rPr>
        <w:t>M</w:t>
      </w:r>
      <w:r w:rsidRPr="00C272ED">
        <w:rPr>
          <w:i/>
          <w:iCs/>
          <w:color w:val="000000" w:themeColor="text1"/>
          <w:vertAlign w:val="subscript"/>
        </w:rPr>
        <w:t>age</w:t>
      </w:r>
      <w:r w:rsidRPr="00C272ED">
        <w:rPr>
          <w:color w:val="000000" w:themeColor="text1"/>
        </w:rPr>
        <w:t xml:space="preserve"> = </w:t>
      </w:r>
      <w:r w:rsidR="00FD5942" w:rsidRPr="00C272ED">
        <w:rPr>
          <w:color w:val="000000" w:themeColor="text1"/>
        </w:rPr>
        <w:t>18.72</w:t>
      </w:r>
      <w:r w:rsidRPr="00C272ED">
        <w:rPr>
          <w:color w:val="000000" w:themeColor="text1"/>
        </w:rPr>
        <w:t xml:space="preserve">, </w:t>
      </w:r>
      <w:r w:rsidRPr="00C272ED">
        <w:rPr>
          <w:i/>
          <w:iCs/>
          <w:color w:val="000000" w:themeColor="text1"/>
        </w:rPr>
        <w:t>SD</w:t>
      </w:r>
      <w:r w:rsidRPr="00C272ED">
        <w:rPr>
          <w:color w:val="000000" w:themeColor="text1"/>
        </w:rPr>
        <w:t xml:space="preserve"> = </w:t>
      </w:r>
      <w:r w:rsidR="00FD5942" w:rsidRPr="00C272ED">
        <w:rPr>
          <w:color w:val="000000" w:themeColor="text1"/>
        </w:rPr>
        <w:t>0.93</w:t>
      </w:r>
      <w:r w:rsidRPr="00C272ED">
        <w:rPr>
          <w:color w:val="000000" w:themeColor="text1"/>
        </w:rPr>
        <w:t>).</w:t>
      </w:r>
      <w:r w:rsidR="00284799" w:rsidRPr="00C272ED">
        <w:rPr>
          <w:color w:val="000000" w:themeColor="text1"/>
        </w:rPr>
        <w:t xml:space="preserve"> </w:t>
      </w:r>
      <w:r w:rsidR="008D709B" w:rsidRPr="00C272ED">
        <w:rPr>
          <w:color w:val="000000" w:themeColor="text1"/>
        </w:rPr>
        <w:t xml:space="preserve">This sample size provided </w:t>
      </w:r>
      <w:r w:rsidR="004018B8" w:rsidRPr="00F549A7">
        <w:rPr>
          <w:color w:val="000000" w:themeColor="text1"/>
        </w:rPr>
        <w:t>97</w:t>
      </w:r>
      <w:r w:rsidR="008D709B" w:rsidRPr="00F549A7">
        <w:rPr>
          <w:color w:val="000000" w:themeColor="text1"/>
        </w:rPr>
        <w:t>% power to detect a medium</w:t>
      </w:r>
      <w:r w:rsidR="004018B8" w:rsidRPr="00F549A7">
        <w:rPr>
          <w:color w:val="000000" w:themeColor="text1"/>
        </w:rPr>
        <w:t>-small</w:t>
      </w:r>
      <w:r w:rsidR="008D709B" w:rsidRPr="00F549A7">
        <w:rPr>
          <w:color w:val="000000" w:themeColor="text1"/>
        </w:rPr>
        <w:t xml:space="preserve"> </w:t>
      </w:r>
      <w:r w:rsidR="005175A2" w:rsidRPr="00F549A7">
        <w:rPr>
          <w:color w:val="000000" w:themeColor="text1"/>
        </w:rPr>
        <w:t>difference</w:t>
      </w:r>
      <w:r w:rsidR="004018B8" w:rsidRPr="00F549A7">
        <w:rPr>
          <w:color w:val="000000" w:themeColor="text1"/>
        </w:rPr>
        <w:t xml:space="preserve"> (</w:t>
      </w:r>
      <w:r w:rsidR="004018B8" w:rsidRPr="00F549A7">
        <w:rPr>
          <w:i/>
          <w:iCs/>
          <w:color w:val="000000" w:themeColor="text1"/>
        </w:rPr>
        <w:t>d</w:t>
      </w:r>
      <w:r w:rsidR="00B900AE" w:rsidRPr="00F549A7">
        <w:rPr>
          <w:color w:val="000000" w:themeColor="text1"/>
        </w:rPr>
        <w:t xml:space="preserve"> </w:t>
      </w:r>
      <w:r w:rsidR="004018B8" w:rsidRPr="00F549A7">
        <w:rPr>
          <w:color w:val="000000" w:themeColor="text1"/>
        </w:rPr>
        <w:t>=</w:t>
      </w:r>
      <w:r w:rsidR="00B900AE" w:rsidRPr="00F549A7">
        <w:rPr>
          <w:color w:val="000000" w:themeColor="text1"/>
        </w:rPr>
        <w:t xml:space="preserve"> </w:t>
      </w:r>
      <w:r w:rsidR="004018B8" w:rsidRPr="00F549A7">
        <w:rPr>
          <w:color w:val="000000" w:themeColor="text1"/>
        </w:rPr>
        <w:t>0.35)</w:t>
      </w:r>
      <w:r w:rsidR="005175A2" w:rsidRPr="00F549A7">
        <w:rPr>
          <w:color w:val="000000" w:themeColor="text1"/>
        </w:rPr>
        <w:t xml:space="preserve"> in prescriptions between the two wording conditions</w:t>
      </w:r>
      <w:r w:rsidR="008D709B" w:rsidRPr="00F549A7">
        <w:rPr>
          <w:color w:val="000000" w:themeColor="text1"/>
        </w:rPr>
        <w:t xml:space="preserve">. </w:t>
      </w:r>
      <w:r w:rsidR="00B612B6" w:rsidRPr="00C272ED">
        <w:rPr>
          <w:color w:val="000000" w:themeColor="text1"/>
        </w:rPr>
        <w:t xml:space="preserve">The preregistration can be found here: </w:t>
      </w:r>
      <w:r w:rsidR="005C0D0F" w:rsidRPr="005C0D0F">
        <w:rPr>
          <w:color w:val="000000" w:themeColor="text1"/>
        </w:rPr>
        <w:t>osf.io/3azj6</w:t>
      </w:r>
      <w:r w:rsidR="00B612B6" w:rsidRPr="00F549A7">
        <w:rPr>
          <w:color w:val="000000" w:themeColor="text1"/>
        </w:rPr>
        <w:t>.</w:t>
      </w:r>
      <w:r w:rsidR="00B612B6" w:rsidRPr="00C272ED">
        <w:rPr>
          <w:color w:val="000000" w:themeColor="text1"/>
        </w:rPr>
        <w:t xml:space="preserve"> </w:t>
      </w:r>
    </w:p>
    <w:p w14:paraId="36AF224A" w14:textId="115DBA15" w:rsidR="00FD3C03" w:rsidRPr="004F0117" w:rsidRDefault="00E26F57" w:rsidP="00377A6F">
      <w:pPr>
        <w:widowControl w:val="0"/>
        <w:spacing w:line="480" w:lineRule="auto"/>
        <w:rPr>
          <w:color w:val="000000" w:themeColor="text1"/>
        </w:rPr>
      </w:pPr>
      <w:r w:rsidRPr="004F0117">
        <w:rPr>
          <w:b/>
          <w:bCs/>
          <w:i/>
          <w:iCs/>
          <w:color w:val="000000" w:themeColor="text1"/>
        </w:rPr>
        <w:t>Prescription Measures and Counterbalancing of Measures</w:t>
      </w:r>
    </w:p>
    <w:p w14:paraId="23223C2C" w14:textId="706F0898" w:rsidR="00934C41" w:rsidRPr="004F0117" w:rsidRDefault="00934C41" w:rsidP="00377A6F">
      <w:pPr>
        <w:widowControl w:val="0"/>
        <w:spacing w:line="480" w:lineRule="auto"/>
        <w:ind w:firstLine="720"/>
        <w:rPr>
          <w:color w:val="000000" w:themeColor="text1"/>
        </w:rPr>
      </w:pPr>
      <w:r w:rsidRPr="004F0117">
        <w:rPr>
          <w:color w:val="000000" w:themeColor="text1"/>
        </w:rPr>
        <w:t>For each scenario, participants answered two prescription questions, both of which appeared on the same page. Half the participants saw a feelings-prescription question followed by a thinking-prescription question</w:t>
      </w:r>
      <w:r w:rsidR="008A0BF0">
        <w:rPr>
          <w:color w:val="000000" w:themeColor="text1"/>
        </w:rPr>
        <w:t>, and the other h</w:t>
      </w:r>
      <w:r w:rsidRPr="004F0117">
        <w:rPr>
          <w:color w:val="000000" w:themeColor="text1"/>
        </w:rPr>
        <w:t xml:space="preserve">alf saw them in reverse order. The introductory wording of the second question was made slightly different from the first, in order to reduce participant confusion. </w:t>
      </w:r>
      <w:bookmarkStart w:id="1" w:name="_Hlk45208636"/>
      <w:r w:rsidRPr="004F0117">
        <w:rPr>
          <w:color w:val="000000" w:themeColor="text1"/>
        </w:rPr>
        <w:t xml:space="preserve">For example, for the </w:t>
      </w:r>
      <w:r w:rsidRPr="004F0117">
        <w:rPr>
          <w:color w:val="000000" w:themeColor="text1"/>
          <w:u w:val="single"/>
        </w:rPr>
        <w:t>first</w:t>
      </w:r>
      <w:r w:rsidRPr="004F0117">
        <w:rPr>
          <w:color w:val="000000" w:themeColor="text1"/>
        </w:rPr>
        <w:t xml:space="preserve"> question about the Lisa scenario, the wording of the feeling vs. thinking versions was as follows:</w:t>
      </w:r>
    </w:p>
    <w:p w14:paraId="736B1E6D" w14:textId="77777777" w:rsidR="00934C41" w:rsidRPr="00EF24B4" w:rsidRDefault="00934C41" w:rsidP="002936DE">
      <w:pPr>
        <w:spacing w:line="480" w:lineRule="auto"/>
        <w:ind w:left="720"/>
      </w:pPr>
      <w:r w:rsidRPr="00EF24B4">
        <w:rPr>
          <w:i/>
          <w:iCs/>
        </w:rPr>
        <w:lastRenderedPageBreak/>
        <w:t>Under the circumstances described in this story, how should Lisa [feel/think] about the likelihood of winning the award?  In other words, what way of [feeling/thinking] would be advisable? In light of the situation that she is in, Lisa should [feel/think] _____ about her likelihood of winning the award.</w:t>
      </w:r>
    </w:p>
    <w:p w14:paraId="6F7B2F82" w14:textId="77777777" w:rsidR="00934C41" w:rsidRPr="00EF24B4" w:rsidRDefault="00934C41" w:rsidP="002936DE">
      <w:pPr>
        <w:spacing w:line="480" w:lineRule="auto"/>
      </w:pPr>
      <w:r w:rsidRPr="00EF24B4">
        <w:t xml:space="preserve">For the </w:t>
      </w:r>
      <w:r w:rsidRPr="00EF24B4">
        <w:rPr>
          <w:u w:val="single"/>
        </w:rPr>
        <w:t>second</w:t>
      </w:r>
      <w:r w:rsidRPr="00EF24B4">
        <w:t xml:space="preserve"> question about the Lisa scenario, the wording of the feeling vs. thinking versions was as follows:</w:t>
      </w:r>
    </w:p>
    <w:p w14:paraId="63DA8E6D" w14:textId="23E5CB0A" w:rsidR="00934C41" w:rsidRDefault="00934C41" w:rsidP="002936DE">
      <w:pPr>
        <w:widowControl w:val="0"/>
        <w:spacing w:line="480" w:lineRule="auto"/>
        <w:ind w:left="720"/>
      </w:pPr>
      <w:r w:rsidRPr="00EF24B4">
        <w:rPr>
          <w:i/>
          <w:iCs/>
        </w:rPr>
        <w:t>You’ve told us how you think Lisa should [feel/think] about the likelihood of winning the award. Now we’d like to know how you think Lisa should [</w:t>
      </w:r>
      <w:r w:rsidR="00B900AE">
        <w:rPr>
          <w:i/>
          <w:iCs/>
        </w:rPr>
        <w:t>think/feel</w:t>
      </w:r>
      <w:r w:rsidRPr="00EF24B4">
        <w:rPr>
          <w:i/>
          <w:iCs/>
        </w:rPr>
        <w:t>] about the likelihood of winning the award. Your answer to this question might or might not be similar to your other answer. In light of the situation that she is in, Lisa should [</w:t>
      </w:r>
      <w:r w:rsidR="00B900AE">
        <w:rPr>
          <w:i/>
          <w:iCs/>
        </w:rPr>
        <w:t>think</w:t>
      </w:r>
      <w:r w:rsidRPr="00EF24B4">
        <w:rPr>
          <w:i/>
          <w:iCs/>
        </w:rPr>
        <w:t>/</w:t>
      </w:r>
      <w:r w:rsidR="00B900AE">
        <w:rPr>
          <w:i/>
          <w:iCs/>
        </w:rPr>
        <w:t>feel</w:t>
      </w:r>
      <w:r w:rsidRPr="00EF24B4">
        <w:rPr>
          <w:i/>
          <w:iCs/>
        </w:rPr>
        <w:t>] _____ about her likelihood of winning the award.</w:t>
      </w:r>
    </w:p>
    <w:bookmarkEnd w:id="1"/>
    <w:p w14:paraId="2780B114" w14:textId="10E2BE92" w:rsidR="00FD3C03" w:rsidRDefault="00934C41" w:rsidP="002936DE">
      <w:pPr>
        <w:widowControl w:val="0"/>
        <w:spacing w:line="480" w:lineRule="auto"/>
        <w:rPr>
          <w:b/>
          <w:bCs/>
        </w:rPr>
      </w:pPr>
      <w:r>
        <w:rPr>
          <w:bCs/>
        </w:rPr>
        <w:t xml:space="preserve">The response options for </w:t>
      </w:r>
      <w:r w:rsidR="007B14FF">
        <w:rPr>
          <w:bCs/>
        </w:rPr>
        <w:t>both prescriptions</w:t>
      </w:r>
      <w:r>
        <w:rPr>
          <w:bCs/>
        </w:rPr>
        <w:t xml:space="preserve"> were always: </w:t>
      </w:r>
      <w:r w:rsidRPr="00C038EC">
        <w:rPr>
          <w:bCs/>
          <w:i/>
          <w:iCs/>
        </w:rPr>
        <w:t>Extremely pessimistic,</w:t>
      </w:r>
      <w:r>
        <w:rPr>
          <w:bCs/>
        </w:rPr>
        <w:t xml:space="preserve"> </w:t>
      </w:r>
      <w:r w:rsidRPr="00C038EC">
        <w:rPr>
          <w:bCs/>
          <w:i/>
          <w:iCs/>
        </w:rPr>
        <w:t>Moderately pessimistic</w:t>
      </w:r>
      <w:r>
        <w:rPr>
          <w:bCs/>
        </w:rPr>
        <w:t xml:space="preserve">, </w:t>
      </w:r>
      <w:r w:rsidR="00A849DD">
        <w:rPr>
          <w:bCs/>
          <w:i/>
          <w:iCs/>
        </w:rPr>
        <w:t>Realistic</w:t>
      </w:r>
      <w:r w:rsidRPr="00C038EC">
        <w:rPr>
          <w:bCs/>
        </w:rPr>
        <w:t xml:space="preserve">, </w:t>
      </w:r>
      <w:r w:rsidRPr="00C038EC">
        <w:rPr>
          <w:bCs/>
          <w:i/>
          <w:iCs/>
        </w:rPr>
        <w:t>Moderately optimistic</w:t>
      </w:r>
      <w:r>
        <w:rPr>
          <w:bCs/>
        </w:rPr>
        <w:t xml:space="preserve">, and </w:t>
      </w:r>
      <w:r w:rsidRPr="00C038EC">
        <w:rPr>
          <w:bCs/>
          <w:i/>
          <w:iCs/>
        </w:rPr>
        <w:t>Extremely optimistic</w:t>
      </w:r>
      <w:r>
        <w:rPr>
          <w:bCs/>
        </w:rPr>
        <w:t>.</w:t>
      </w:r>
      <w:r w:rsidR="00FE186B">
        <w:rPr>
          <w:bCs/>
        </w:rPr>
        <w:t xml:space="preserve"> </w:t>
      </w:r>
    </w:p>
    <w:p w14:paraId="60C1C059" w14:textId="7CF03DD3" w:rsidR="00A414A2" w:rsidRPr="00A414A2" w:rsidRDefault="00A414A2" w:rsidP="002936DE">
      <w:pPr>
        <w:spacing w:line="480" w:lineRule="auto"/>
        <w:rPr>
          <w:b/>
          <w:bCs/>
        </w:rPr>
      </w:pPr>
      <w:r w:rsidRPr="00A414A2">
        <w:rPr>
          <w:b/>
          <w:bCs/>
        </w:rPr>
        <w:t>Results</w:t>
      </w:r>
    </w:p>
    <w:p w14:paraId="0F4451F6" w14:textId="02743173" w:rsidR="004B64C5" w:rsidRDefault="00406F9A" w:rsidP="002936DE">
      <w:pPr>
        <w:spacing w:line="480" w:lineRule="auto"/>
        <w:ind w:firstLine="720"/>
      </w:pPr>
      <w:r>
        <w:t>Akin to Study 1, all prescriptions were</w:t>
      </w:r>
      <w:r w:rsidRPr="00913A3B">
        <w:t xml:space="preserve"> coded from -2 to +2</w:t>
      </w:r>
      <w:r>
        <w:t xml:space="preserve">. </w:t>
      </w:r>
      <w:r w:rsidR="00F45416">
        <w:t>Prescriptions were submitted to</w:t>
      </w:r>
      <w:r w:rsidR="00DB0AEA">
        <w:t xml:space="preserve"> </w:t>
      </w:r>
      <w:r w:rsidR="00B816F0">
        <w:t xml:space="preserve">a 2(Wording: Feeling/Thinking) x 3 (Scenario Version) x 2(Order) </w:t>
      </w:r>
      <w:r w:rsidR="00B900AE">
        <w:t>mixed</w:t>
      </w:r>
      <w:r w:rsidR="00B816F0">
        <w:t xml:space="preserve"> ANOVA. </w:t>
      </w:r>
      <w:r w:rsidR="004B64C5">
        <w:t xml:space="preserve">The most important results—regarding the nonsignificant main effect of wording—are </w:t>
      </w:r>
      <w:r w:rsidR="00205700">
        <w:t>displayed in Figure 3</w:t>
      </w:r>
      <w:r w:rsidR="00640526">
        <w:t xml:space="preserve"> </w:t>
      </w:r>
      <w:r w:rsidR="00205700">
        <w:t xml:space="preserve">and </w:t>
      </w:r>
      <w:r w:rsidR="004B64C5">
        <w:t xml:space="preserve">reported in the next paragraph, but </w:t>
      </w:r>
      <w:r w:rsidR="00F45416">
        <w:t xml:space="preserve">first we will </w:t>
      </w:r>
      <w:r w:rsidR="004B64C5">
        <w:t xml:space="preserve">cover other </w:t>
      </w:r>
      <w:r w:rsidR="00B900AE">
        <w:t>results</w:t>
      </w:r>
      <w:r w:rsidR="004B64C5">
        <w:t>. N</w:t>
      </w:r>
      <w:r w:rsidR="00F45416">
        <w:t xml:space="preserve">o interactions were significant (all </w:t>
      </w:r>
      <w:proofErr w:type="spellStart"/>
      <w:r w:rsidR="00F45416" w:rsidRPr="00931A48">
        <w:rPr>
          <w:i/>
          <w:iCs/>
        </w:rPr>
        <w:t>p</w:t>
      </w:r>
      <w:r w:rsidR="00F45416">
        <w:t>s</w:t>
      </w:r>
      <w:proofErr w:type="spellEnd"/>
      <w:r w:rsidR="00F45416">
        <w:t xml:space="preserve"> </w:t>
      </w:r>
      <w:r w:rsidR="00D0348F">
        <w:t>&gt;</w:t>
      </w:r>
      <w:r w:rsidR="00F45416">
        <w:t xml:space="preserve"> </w:t>
      </w:r>
      <w:r w:rsidR="00D0348F">
        <w:t>.12</w:t>
      </w:r>
      <w:r w:rsidR="00F45416">
        <w:t>).  T</w:t>
      </w:r>
      <w:r w:rsidR="00B816F0">
        <w:t xml:space="preserve">he main effect of order was </w:t>
      </w:r>
      <w:r w:rsidR="00F45416">
        <w:t xml:space="preserve">not </w:t>
      </w:r>
      <w:r w:rsidR="00B816F0">
        <w:t>significant</w:t>
      </w:r>
      <w:r w:rsidR="00D0348F">
        <w:t xml:space="preserve"> </w:t>
      </w:r>
      <w:r w:rsidR="00F45416">
        <w:t>(</w:t>
      </w:r>
      <w:r w:rsidR="00F45416" w:rsidRPr="00931A48">
        <w:rPr>
          <w:i/>
          <w:iCs/>
        </w:rPr>
        <w:t>p</w:t>
      </w:r>
      <w:r w:rsidR="00F45416">
        <w:t xml:space="preserve"> = </w:t>
      </w:r>
      <w:r w:rsidR="00D0348F">
        <w:t>.727</w:t>
      </w:r>
      <w:r w:rsidR="00F45416">
        <w:t xml:space="preserve">), but there was main effect of version, </w:t>
      </w:r>
      <w:proofErr w:type="gramStart"/>
      <w:r w:rsidR="00F45416" w:rsidRPr="00A33688">
        <w:rPr>
          <w:i/>
          <w:iCs/>
        </w:rPr>
        <w:t>F</w:t>
      </w:r>
      <w:r w:rsidR="00F45416">
        <w:t>(</w:t>
      </w:r>
      <w:proofErr w:type="gramEnd"/>
      <w:r w:rsidR="00F45416">
        <w:t xml:space="preserve">2, 240) = 3.89, </w:t>
      </w:r>
      <w:r w:rsidR="00F45416" w:rsidRPr="00A33688">
        <w:rPr>
          <w:i/>
          <w:iCs/>
        </w:rPr>
        <w:t>p</w:t>
      </w:r>
      <w:r w:rsidR="00F45416">
        <w:t xml:space="preserve"> = .022, </w:t>
      </w:r>
      <w:r w:rsidR="00F45416" w:rsidRPr="00CE44FD">
        <w:sym w:font="Symbol" w:char="F068"/>
      </w:r>
      <w:r w:rsidR="00F45416" w:rsidRPr="00CE44FD">
        <w:rPr>
          <w:vertAlign w:val="subscript"/>
        </w:rPr>
        <w:t>p</w:t>
      </w:r>
      <w:r w:rsidR="00F45416" w:rsidRPr="00CE44FD">
        <w:rPr>
          <w:vertAlign w:val="superscript"/>
        </w:rPr>
        <w:t>2</w:t>
      </w:r>
      <w:r w:rsidR="00F45416">
        <w:t xml:space="preserve"> = .031. </w:t>
      </w:r>
      <w:r w:rsidR="004B64C5">
        <w:t>Unexpectedly, p</w:t>
      </w:r>
      <w:r w:rsidR="00F45416">
        <w:t>articipants prescribed more optimism in the</w:t>
      </w:r>
      <w:r w:rsidR="00DB4237">
        <w:t xml:space="preserve"> internal agency/post</w:t>
      </w:r>
      <w:r w:rsidR="008B5155">
        <w:t>-</w:t>
      </w:r>
      <w:r w:rsidR="00DB4237">
        <w:t>commitment</w:t>
      </w:r>
      <w:r w:rsidR="00F45416">
        <w:t xml:space="preserve"> scenario version (</w:t>
      </w:r>
      <w:r w:rsidR="00F45416" w:rsidRPr="0017507E">
        <w:rPr>
          <w:i/>
          <w:iCs/>
        </w:rPr>
        <w:t>M</w:t>
      </w:r>
      <w:r w:rsidR="00F45416">
        <w:t xml:space="preserve"> = </w:t>
      </w:r>
      <w:r w:rsidR="00DB4237">
        <w:t>0.4</w:t>
      </w:r>
      <w:r w:rsidR="00451DFC">
        <w:t>9</w:t>
      </w:r>
      <w:r w:rsidR="00F45416">
        <w:t xml:space="preserve">, </w:t>
      </w:r>
      <w:r w:rsidR="00F45416" w:rsidRPr="0017507E">
        <w:rPr>
          <w:i/>
          <w:iCs/>
        </w:rPr>
        <w:t>SD</w:t>
      </w:r>
      <w:r w:rsidR="00F45416">
        <w:t xml:space="preserve"> = 0.67) than in the </w:t>
      </w:r>
      <w:r w:rsidR="00DB4237">
        <w:t xml:space="preserve">internal </w:t>
      </w:r>
      <w:r w:rsidR="00F45416">
        <w:t>agency</w:t>
      </w:r>
      <w:r w:rsidR="00DB4237">
        <w:t>/pre</w:t>
      </w:r>
      <w:r w:rsidR="008B5155">
        <w:t>-</w:t>
      </w:r>
      <w:r w:rsidR="00DB4237">
        <w:t xml:space="preserve">commitment </w:t>
      </w:r>
      <w:r w:rsidR="00F45416">
        <w:t>scenario version (</w:t>
      </w:r>
      <w:r w:rsidR="00F45416" w:rsidRPr="0017507E">
        <w:rPr>
          <w:i/>
          <w:iCs/>
        </w:rPr>
        <w:t>M</w:t>
      </w:r>
      <w:r w:rsidR="00F45416">
        <w:t xml:space="preserve"> = </w:t>
      </w:r>
      <w:r w:rsidR="00451DFC">
        <w:t>0.27</w:t>
      </w:r>
      <w:r w:rsidR="00F45416">
        <w:t xml:space="preserve">, </w:t>
      </w:r>
      <w:r w:rsidR="00F45416" w:rsidRPr="0017507E">
        <w:rPr>
          <w:i/>
          <w:iCs/>
        </w:rPr>
        <w:t>SD</w:t>
      </w:r>
      <w:r w:rsidR="00F45416">
        <w:t xml:space="preserve"> = 0.62, </w:t>
      </w:r>
      <w:r w:rsidR="00F45416" w:rsidRPr="0017507E">
        <w:rPr>
          <w:i/>
          <w:iCs/>
        </w:rPr>
        <w:t>p</w:t>
      </w:r>
      <w:r w:rsidR="00F45416">
        <w:t xml:space="preserve"> </w:t>
      </w:r>
      <w:r w:rsidR="00F45416">
        <w:lastRenderedPageBreak/>
        <w:t>= .017, 95% CI for the difference [-0.40, -0.03]).</w:t>
      </w:r>
      <w:r w:rsidR="004B64C5">
        <w:t xml:space="preserve"> </w:t>
      </w:r>
      <w:r w:rsidR="00451DFC">
        <w:t xml:space="preserve">This finding is </w:t>
      </w:r>
      <w:r w:rsidR="00F80FFB">
        <w:t>like</w:t>
      </w:r>
      <w:r w:rsidR="00451DFC">
        <w:t xml:space="preserve"> that of Armor et al.’s (2008) original finding</w:t>
      </w:r>
      <w:r w:rsidR="00F80FFB">
        <w:t>,</w:t>
      </w:r>
      <w:r w:rsidR="00451DFC">
        <w:t xml:space="preserve"> but it</w:t>
      </w:r>
      <w:r w:rsidR="004B64C5">
        <w:t xml:space="preserve"> is not replicated in Study 1 or 3, so we </w:t>
      </w:r>
      <w:r w:rsidR="00451DFC">
        <w:t>do not</w:t>
      </w:r>
      <w:r w:rsidR="004B64C5">
        <w:t xml:space="preserve"> discuss it further. </w:t>
      </w:r>
    </w:p>
    <w:p w14:paraId="1E46A76D" w14:textId="3E99B56F" w:rsidR="00683DFD" w:rsidRDefault="004B64C5" w:rsidP="002936DE">
      <w:pPr>
        <w:spacing w:line="480" w:lineRule="auto"/>
        <w:ind w:firstLine="720"/>
      </w:pPr>
      <w:r>
        <w:t>Again, the primary issue in this study was whether there was a main effect of wording.</w:t>
      </w:r>
      <w:r w:rsidR="00205700">
        <w:t xml:space="preserve"> </w:t>
      </w:r>
      <w:r w:rsidR="00E96F83">
        <w:t xml:space="preserve">Participants did not </w:t>
      </w:r>
      <w:r w:rsidR="004B736E">
        <w:t xml:space="preserve">give significantly different prescriptions as a function of the feeling vs. thinking manipulation, </w:t>
      </w:r>
      <w:proofErr w:type="gramStart"/>
      <w:r w:rsidR="00B816F0" w:rsidRPr="000126A5">
        <w:rPr>
          <w:i/>
          <w:iCs/>
        </w:rPr>
        <w:t>F</w:t>
      </w:r>
      <w:r w:rsidR="00B816F0">
        <w:t>(</w:t>
      </w:r>
      <w:proofErr w:type="gramEnd"/>
      <w:r w:rsidR="00B816F0">
        <w:t xml:space="preserve">1, 120) = 3.14, </w:t>
      </w:r>
      <w:r w:rsidR="00B816F0" w:rsidRPr="000126A5">
        <w:rPr>
          <w:i/>
          <w:iCs/>
        </w:rPr>
        <w:t>p</w:t>
      </w:r>
      <w:r w:rsidR="00B816F0">
        <w:t xml:space="preserve"> = .079, </w:t>
      </w:r>
      <w:r w:rsidR="00CE44FD" w:rsidRPr="00CE44FD">
        <w:sym w:font="Symbol" w:char="F068"/>
      </w:r>
      <w:r w:rsidR="00CE44FD" w:rsidRPr="00CE44FD">
        <w:rPr>
          <w:vertAlign w:val="subscript"/>
        </w:rPr>
        <w:t>p</w:t>
      </w:r>
      <w:r w:rsidR="00CE44FD" w:rsidRPr="00CE44FD">
        <w:rPr>
          <w:vertAlign w:val="superscript"/>
        </w:rPr>
        <w:t>2</w:t>
      </w:r>
      <w:r w:rsidR="00CE44FD">
        <w:t xml:space="preserve"> </w:t>
      </w:r>
      <w:r w:rsidR="00B816F0">
        <w:t>= .025.</w:t>
      </w:r>
      <w:r w:rsidR="00E93B67">
        <w:t xml:space="preserve"> Prescriptions for both tended </w:t>
      </w:r>
      <w:r w:rsidR="00683DFD">
        <w:t>to favor optimism. For the feeling question, a o</w:t>
      </w:r>
      <w:r w:rsidR="004B736E">
        <w:t>ne</w:t>
      </w:r>
      <w:r w:rsidR="00FE186B">
        <w:t xml:space="preserve">-sample t-test showed that prescriptions </w:t>
      </w:r>
      <w:r w:rsidR="00683DFD">
        <w:t>(</w:t>
      </w:r>
      <w:r w:rsidR="00683DFD" w:rsidRPr="000126A5">
        <w:rPr>
          <w:i/>
          <w:iCs/>
        </w:rPr>
        <w:t>M</w:t>
      </w:r>
      <w:r w:rsidR="00683DFD">
        <w:t xml:space="preserve"> = </w:t>
      </w:r>
      <w:r w:rsidR="008B5155">
        <w:t>0.43</w:t>
      </w:r>
      <w:r w:rsidR="00683DFD">
        <w:t xml:space="preserve">, </w:t>
      </w:r>
      <w:r w:rsidR="00683DFD" w:rsidRPr="000126A5">
        <w:rPr>
          <w:i/>
          <w:iCs/>
        </w:rPr>
        <w:t>SD</w:t>
      </w:r>
      <w:r w:rsidR="00683DFD">
        <w:t xml:space="preserve"> = 0.60) </w:t>
      </w:r>
      <w:r w:rsidR="00FE186B">
        <w:t>were significantly above the scale midpoint of “realistic”</w:t>
      </w:r>
      <w:r w:rsidR="007E12D6">
        <w:t xml:space="preserve"> </w:t>
      </w:r>
      <w:proofErr w:type="gramStart"/>
      <w:r w:rsidR="00FE186B" w:rsidRPr="000126A5">
        <w:rPr>
          <w:i/>
          <w:iCs/>
        </w:rPr>
        <w:t>t</w:t>
      </w:r>
      <w:r w:rsidR="00FE186B">
        <w:t>(</w:t>
      </w:r>
      <w:proofErr w:type="gramEnd"/>
      <w:r w:rsidR="00FE186B">
        <w:t>122) = 7.95,</w:t>
      </w:r>
      <w:r w:rsidR="00FE186B" w:rsidRPr="000126A5">
        <w:rPr>
          <w:i/>
          <w:iCs/>
        </w:rPr>
        <w:t xml:space="preserve"> p</w:t>
      </w:r>
      <w:r w:rsidR="00FE186B">
        <w:t xml:space="preserve"> &lt; .001</w:t>
      </w:r>
      <w:r w:rsidR="00FE186B" w:rsidRPr="008B5155">
        <w:t xml:space="preserve">, </w:t>
      </w:r>
      <w:r w:rsidR="00FE186B" w:rsidRPr="00931A48">
        <w:rPr>
          <w:i/>
          <w:iCs/>
        </w:rPr>
        <w:t>d</w:t>
      </w:r>
      <w:r w:rsidR="00FE186B" w:rsidRPr="00931A48">
        <w:t xml:space="preserve"> = </w:t>
      </w:r>
      <w:r w:rsidR="008B5155" w:rsidRPr="008B5155">
        <w:t>1</w:t>
      </w:r>
      <w:r w:rsidR="008B5155">
        <w:t>.43</w:t>
      </w:r>
      <w:r w:rsidR="00FE186B">
        <w:t>, 95% CI [0.32, 0.53].</w:t>
      </w:r>
      <w:r w:rsidR="00683DFD">
        <w:t xml:space="preserve"> For the thinking question, prescriptions (</w:t>
      </w:r>
      <w:r w:rsidR="00683DFD" w:rsidRPr="000126A5">
        <w:rPr>
          <w:i/>
          <w:iCs/>
        </w:rPr>
        <w:t>M</w:t>
      </w:r>
      <w:r w:rsidR="00683DFD">
        <w:t xml:space="preserve"> =</w:t>
      </w:r>
      <w:r w:rsidR="00461E02">
        <w:t xml:space="preserve"> </w:t>
      </w:r>
      <w:r w:rsidR="008B5155">
        <w:t>0.31</w:t>
      </w:r>
      <w:r w:rsidR="00683DFD">
        <w:t xml:space="preserve">, </w:t>
      </w:r>
      <w:r w:rsidR="00683DFD" w:rsidRPr="000126A5">
        <w:rPr>
          <w:i/>
          <w:iCs/>
        </w:rPr>
        <w:t>SD</w:t>
      </w:r>
      <w:r w:rsidR="00683DFD">
        <w:t xml:space="preserve"> = 0.59) were also significantly above the midpoint, </w:t>
      </w:r>
      <w:proofErr w:type="gramStart"/>
      <w:r w:rsidR="00683DFD" w:rsidRPr="000126A5">
        <w:rPr>
          <w:i/>
          <w:iCs/>
        </w:rPr>
        <w:t>t</w:t>
      </w:r>
      <w:r w:rsidR="00683DFD">
        <w:t>(</w:t>
      </w:r>
      <w:proofErr w:type="gramEnd"/>
      <w:r w:rsidR="00683DFD">
        <w:t xml:space="preserve">122) = 5.82, </w:t>
      </w:r>
      <w:r w:rsidR="00683DFD" w:rsidRPr="000126A5">
        <w:rPr>
          <w:i/>
          <w:iCs/>
        </w:rPr>
        <w:t>p</w:t>
      </w:r>
      <w:r w:rsidR="00683DFD">
        <w:t xml:space="preserve"> &lt; .001</w:t>
      </w:r>
      <w:r w:rsidR="00683DFD" w:rsidRPr="008B5155">
        <w:t>,</w:t>
      </w:r>
      <w:r w:rsidR="00683DFD" w:rsidRPr="00931A48">
        <w:rPr>
          <w:i/>
          <w:iCs/>
        </w:rPr>
        <w:t xml:space="preserve"> d</w:t>
      </w:r>
      <w:r w:rsidR="00683DFD" w:rsidRPr="00931A48">
        <w:t xml:space="preserve"> = </w:t>
      </w:r>
      <w:r w:rsidR="008B5155" w:rsidRPr="008B5155">
        <w:t>1</w:t>
      </w:r>
      <w:r w:rsidR="008B5155">
        <w:t>.05</w:t>
      </w:r>
      <w:r w:rsidR="00683DFD">
        <w:t>, 95% CI [0.20, 0.41].</w:t>
      </w:r>
      <w:r w:rsidR="00072F2A">
        <w:t xml:space="preserve">  </w:t>
      </w:r>
    </w:p>
    <w:p w14:paraId="38B01CBB" w14:textId="52CDBEBE" w:rsidR="00377A6F" w:rsidRDefault="00E93B67" w:rsidP="00FB4818">
      <w:pPr>
        <w:spacing w:line="480" w:lineRule="auto"/>
        <w:ind w:firstLine="720"/>
      </w:pPr>
      <w:r>
        <w:t xml:space="preserve">The </w:t>
      </w:r>
      <w:r w:rsidR="00683DFD">
        <w:t>fact that</w:t>
      </w:r>
      <w:r w:rsidR="00072F2A">
        <w:t xml:space="preserve"> prescriptions in </w:t>
      </w:r>
      <w:r>
        <w:t xml:space="preserve">the two wording conditions </w:t>
      </w:r>
      <w:r w:rsidR="00803E15">
        <w:t xml:space="preserve">did not </w:t>
      </w:r>
      <w:r w:rsidR="00B900AE">
        <w:t xml:space="preserve">significantly </w:t>
      </w:r>
      <w:r w:rsidR="00803E15">
        <w:t xml:space="preserve">differ and </w:t>
      </w:r>
      <w:r w:rsidR="00674793">
        <w:t>were both significantly greater than zero</w:t>
      </w:r>
      <w:r>
        <w:t xml:space="preserve"> reveals that emphasizing thinking vs. feeling does not substantially matter for prescriptions of optimism/pessimism. </w:t>
      </w:r>
      <w:r w:rsidR="00072F2A">
        <w:t>Moreover</w:t>
      </w:r>
      <w:r>
        <w:t>, we can rule out thinking vs. feeling as the crucial reason why the original and new</w:t>
      </w:r>
      <w:r w:rsidR="008B5155">
        <w:t xml:space="preserve"> estimation</w:t>
      </w:r>
      <w:r>
        <w:t xml:space="preserve"> wordings used in Study 1 produced different prescriptions.</w:t>
      </w:r>
    </w:p>
    <w:tbl>
      <w:tblPr>
        <w:tblW w:w="11511" w:type="dxa"/>
        <w:tblInd w:w="-783" w:type="dxa"/>
        <w:tblLayout w:type="fixed"/>
        <w:tblCellMar>
          <w:top w:w="15" w:type="dxa"/>
        </w:tblCellMar>
        <w:tblLook w:val="04A0" w:firstRow="1" w:lastRow="0" w:firstColumn="1" w:lastColumn="0" w:noHBand="0" w:noVBand="1"/>
      </w:tblPr>
      <w:tblGrid>
        <w:gridCol w:w="2046"/>
        <w:gridCol w:w="2046"/>
        <w:gridCol w:w="1908"/>
        <w:gridCol w:w="1799"/>
        <w:gridCol w:w="1804"/>
        <w:gridCol w:w="1666"/>
        <w:gridCol w:w="242"/>
      </w:tblGrid>
      <w:tr w:rsidR="00C96AA5" w:rsidRPr="00C96AA5" w14:paraId="500E7CE2" w14:textId="77777777" w:rsidTr="00180692">
        <w:trPr>
          <w:gridAfter w:val="1"/>
          <w:wAfter w:w="242" w:type="dxa"/>
          <w:trHeight w:val="259"/>
        </w:trPr>
        <w:tc>
          <w:tcPr>
            <w:tcW w:w="11269" w:type="dxa"/>
            <w:gridSpan w:val="6"/>
            <w:tcBorders>
              <w:top w:val="nil"/>
              <w:left w:val="nil"/>
              <w:bottom w:val="single" w:sz="4" w:space="0" w:color="auto"/>
              <w:right w:val="nil"/>
            </w:tcBorders>
            <w:shd w:val="clear" w:color="000000" w:fill="FFFFFF"/>
            <w:noWrap/>
            <w:vAlign w:val="bottom"/>
            <w:hideMark/>
          </w:tcPr>
          <w:p w14:paraId="65823A96" w14:textId="77777777" w:rsidR="00C96AA5" w:rsidRPr="00C96AA5" w:rsidRDefault="00C96AA5" w:rsidP="00377A6F">
            <w:pPr>
              <w:rPr>
                <w:color w:val="000000"/>
                <w:sz w:val="22"/>
                <w:szCs w:val="22"/>
              </w:rPr>
            </w:pPr>
            <w:r w:rsidRPr="00C96AA5">
              <w:rPr>
                <w:color w:val="000000"/>
                <w:sz w:val="22"/>
                <w:szCs w:val="22"/>
              </w:rPr>
              <w:t>Table 3.</w:t>
            </w:r>
            <w:r w:rsidRPr="00C96AA5">
              <w:rPr>
                <w:i/>
                <w:iCs/>
                <w:color w:val="000000"/>
                <w:sz w:val="22"/>
                <w:szCs w:val="22"/>
              </w:rPr>
              <w:t xml:space="preserve"> Study 2 Mean Prescriptions Per Scenario, Version, and Prescription Wording</w:t>
            </w:r>
          </w:p>
        </w:tc>
      </w:tr>
      <w:tr w:rsidR="00C96AA5" w:rsidRPr="00C96AA5" w14:paraId="50DCA868" w14:textId="77777777" w:rsidTr="00180692">
        <w:trPr>
          <w:gridAfter w:val="1"/>
          <w:wAfter w:w="242" w:type="dxa"/>
          <w:trHeight w:val="317"/>
        </w:trPr>
        <w:tc>
          <w:tcPr>
            <w:tcW w:w="2046" w:type="dxa"/>
            <w:vMerge w:val="restart"/>
            <w:tcBorders>
              <w:top w:val="nil"/>
              <w:left w:val="nil"/>
              <w:bottom w:val="single" w:sz="4" w:space="0" w:color="000000"/>
              <w:right w:val="nil"/>
            </w:tcBorders>
            <w:shd w:val="clear" w:color="000000" w:fill="FFFFFF"/>
            <w:noWrap/>
            <w:vAlign w:val="center"/>
            <w:hideMark/>
          </w:tcPr>
          <w:p w14:paraId="56D9D59F" w14:textId="77777777" w:rsidR="00C96AA5" w:rsidRPr="00C96AA5" w:rsidRDefault="00C96AA5" w:rsidP="00377A6F">
            <w:pPr>
              <w:jc w:val="center"/>
              <w:rPr>
                <w:color w:val="000000"/>
                <w:sz w:val="22"/>
                <w:szCs w:val="22"/>
              </w:rPr>
            </w:pPr>
            <w:r w:rsidRPr="00C96AA5">
              <w:rPr>
                <w:color w:val="000000"/>
                <w:sz w:val="22"/>
                <w:szCs w:val="22"/>
              </w:rPr>
              <w:t xml:space="preserve">Scenarios </w:t>
            </w:r>
          </w:p>
        </w:tc>
        <w:tc>
          <w:tcPr>
            <w:tcW w:w="2046" w:type="dxa"/>
            <w:vMerge w:val="restart"/>
            <w:tcBorders>
              <w:top w:val="nil"/>
              <w:left w:val="nil"/>
              <w:bottom w:val="nil"/>
              <w:right w:val="nil"/>
            </w:tcBorders>
            <w:shd w:val="clear" w:color="000000" w:fill="FFFFFF"/>
            <w:vAlign w:val="center"/>
            <w:hideMark/>
          </w:tcPr>
          <w:p w14:paraId="7DE527B3" w14:textId="77777777" w:rsidR="00C96AA5" w:rsidRPr="00C96AA5" w:rsidRDefault="00C96AA5" w:rsidP="00377A6F">
            <w:pPr>
              <w:jc w:val="center"/>
              <w:rPr>
                <w:color w:val="000000"/>
                <w:sz w:val="22"/>
                <w:szCs w:val="22"/>
              </w:rPr>
            </w:pPr>
            <w:r w:rsidRPr="00C96AA5">
              <w:rPr>
                <w:color w:val="000000"/>
                <w:sz w:val="22"/>
                <w:szCs w:val="22"/>
              </w:rPr>
              <w:t xml:space="preserve">Prescription </w:t>
            </w:r>
            <w:r w:rsidRPr="00C96AA5">
              <w:rPr>
                <w:color w:val="000000"/>
                <w:sz w:val="22"/>
                <w:szCs w:val="22"/>
              </w:rPr>
              <w:br/>
              <w:t>Wording</w:t>
            </w:r>
          </w:p>
        </w:tc>
        <w:tc>
          <w:tcPr>
            <w:tcW w:w="5511" w:type="dxa"/>
            <w:gridSpan w:val="3"/>
            <w:tcBorders>
              <w:top w:val="single" w:sz="4" w:space="0" w:color="auto"/>
              <w:left w:val="nil"/>
              <w:bottom w:val="single" w:sz="4" w:space="0" w:color="auto"/>
              <w:right w:val="nil"/>
            </w:tcBorders>
            <w:shd w:val="clear" w:color="000000" w:fill="FFFFFF"/>
            <w:noWrap/>
            <w:vAlign w:val="center"/>
            <w:hideMark/>
          </w:tcPr>
          <w:p w14:paraId="5B30F04B" w14:textId="77777777" w:rsidR="00C96AA5" w:rsidRPr="00C96AA5" w:rsidRDefault="00C96AA5" w:rsidP="00377A6F">
            <w:pPr>
              <w:jc w:val="center"/>
              <w:rPr>
                <w:color w:val="000000"/>
                <w:sz w:val="22"/>
                <w:szCs w:val="22"/>
              </w:rPr>
            </w:pPr>
            <w:r w:rsidRPr="00C96AA5">
              <w:rPr>
                <w:color w:val="000000"/>
                <w:sz w:val="22"/>
                <w:szCs w:val="22"/>
              </w:rPr>
              <w:t>Scenario Moderators</w:t>
            </w:r>
          </w:p>
        </w:tc>
        <w:tc>
          <w:tcPr>
            <w:tcW w:w="1666" w:type="dxa"/>
            <w:vMerge w:val="restart"/>
            <w:tcBorders>
              <w:top w:val="single" w:sz="4" w:space="0" w:color="auto"/>
              <w:left w:val="nil"/>
              <w:bottom w:val="single" w:sz="4" w:space="0" w:color="000000"/>
              <w:right w:val="nil"/>
            </w:tcBorders>
            <w:shd w:val="clear" w:color="000000" w:fill="FFFFFF"/>
            <w:vAlign w:val="center"/>
            <w:hideMark/>
          </w:tcPr>
          <w:p w14:paraId="7F7F473B" w14:textId="77777777" w:rsidR="00C96AA5" w:rsidRPr="00C96AA5" w:rsidRDefault="00C96AA5" w:rsidP="00377A6F">
            <w:pPr>
              <w:jc w:val="center"/>
              <w:rPr>
                <w:color w:val="000000"/>
                <w:sz w:val="22"/>
                <w:szCs w:val="22"/>
              </w:rPr>
            </w:pPr>
            <w:r w:rsidRPr="00C96AA5">
              <w:rPr>
                <w:color w:val="000000"/>
                <w:sz w:val="22"/>
                <w:szCs w:val="22"/>
              </w:rPr>
              <w:t>Average</w:t>
            </w:r>
            <w:r w:rsidRPr="00C96AA5">
              <w:rPr>
                <w:color w:val="000000"/>
                <w:sz w:val="22"/>
                <w:szCs w:val="22"/>
              </w:rPr>
              <w:br/>
              <w:t xml:space="preserve"> (collapsed across versions)</w:t>
            </w:r>
          </w:p>
        </w:tc>
      </w:tr>
      <w:tr w:rsidR="00C96AA5" w:rsidRPr="00C96AA5" w14:paraId="5A7C068D" w14:textId="77777777" w:rsidTr="00180692">
        <w:trPr>
          <w:gridAfter w:val="1"/>
          <w:wAfter w:w="242" w:type="dxa"/>
          <w:trHeight w:val="278"/>
        </w:trPr>
        <w:tc>
          <w:tcPr>
            <w:tcW w:w="2046" w:type="dxa"/>
            <w:vMerge/>
            <w:tcBorders>
              <w:top w:val="nil"/>
              <w:left w:val="nil"/>
              <w:bottom w:val="single" w:sz="4" w:space="0" w:color="000000"/>
              <w:right w:val="nil"/>
            </w:tcBorders>
            <w:vAlign w:val="center"/>
            <w:hideMark/>
          </w:tcPr>
          <w:p w14:paraId="3C356EEE" w14:textId="77777777" w:rsidR="00C96AA5" w:rsidRPr="00C96AA5" w:rsidRDefault="00C96AA5" w:rsidP="00377A6F">
            <w:pPr>
              <w:rPr>
                <w:color w:val="000000"/>
                <w:sz w:val="22"/>
                <w:szCs w:val="22"/>
              </w:rPr>
            </w:pPr>
          </w:p>
        </w:tc>
        <w:tc>
          <w:tcPr>
            <w:tcW w:w="2046" w:type="dxa"/>
            <w:vMerge/>
            <w:tcBorders>
              <w:top w:val="nil"/>
              <w:left w:val="nil"/>
              <w:bottom w:val="nil"/>
              <w:right w:val="nil"/>
            </w:tcBorders>
            <w:vAlign w:val="center"/>
            <w:hideMark/>
          </w:tcPr>
          <w:p w14:paraId="68ED6F6F" w14:textId="77777777" w:rsidR="00C96AA5" w:rsidRPr="00C96AA5" w:rsidRDefault="00C96AA5" w:rsidP="00377A6F">
            <w:pPr>
              <w:rPr>
                <w:color w:val="000000"/>
                <w:sz w:val="22"/>
                <w:szCs w:val="22"/>
              </w:rPr>
            </w:pPr>
          </w:p>
        </w:tc>
        <w:tc>
          <w:tcPr>
            <w:tcW w:w="1908" w:type="dxa"/>
            <w:vMerge w:val="restart"/>
            <w:tcBorders>
              <w:top w:val="nil"/>
              <w:left w:val="nil"/>
              <w:bottom w:val="single" w:sz="4" w:space="0" w:color="000000"/>
              <w:right w:val="nil"/>
            </w:tcBorders>
            <w:shd w:val="clear" w:color="000000" w:fill="FFFFFF"/>
            <w:vAlign w:val="center"/>
            <w:hideMark/>
          </w:tcPr>
          <w:p w14:paraId="77D8E065" w14:textId="77777777" w:rsidR="00C96AA5" w:rsidRPr="00C96AA5" w:rsidRDefault="00C96AA5" w:rsidP="00377A6F">
            <w:pPr>
              <w:jc w:val="center"/>
              <w:rPr>
                <w:color w:val="000000"/>
                <w:sz w:val="22"/>
                <w:szCs w:val="22"/>
              </w:rPr>
            </w:pPr>
            <w:r w:rsidRPr="00C96AA5">
              <w:rPr>
                <w:color w:val="000000"/>
                <w:sz w:val="22"/>
                <w:szCs w:val="22"/>
              </w:rPr>
              <w:t xml:space="preserve">Internal agency/ </w:t>
            </w:r>
            <w:r w:rsidRPr="00C96AA5">
              <w:rPr>
                <w:color w:val="000000"/>
                <w:sz w:val="22"/>
                <w:szCs w:val="22"/>
              </w:rPr>
              <w:br/>
              <w:t>pre-commitment</w:t>
            </w:r>
          </w:p>
        </w:tc>
        <w:tc>
          <w:tcPr>
            <w:tcW w:w="1799" w:type="dxa"/>
            <w:vMerge w:val="restart"/>
            <w:tcBorders>
              <w:top w:val="nil"/>
              <w:left w:val="nil"/>
              <w:bottom w:val="single" w:sz="4" w:space="0" w:color="000000"/>
              <w:right w:val="nil"/>
            </w:tcBorders>
            <w:shd w:val="clear" w:color="000000" w:fill="FFFFFF"/>
            <w:vAlign w:val="center"/>
            <w:hideMark/>
          </w:tcPr>
          <w:p w14:paraId="5625722F" w14:textId="77777777" w:rsidR="00C96AA5" w:rsidRPr="00C96AA5" w:rsidRDefault="00C96AA5" w:rsidP="00377A6F">
            <w:pPr>
              <w:jc w:val="center"/>
              <w:rPr>
                <w:color w:val="000000"/>
                <w:sz w:val="22"/>
                <w:szCs w:val="22"/>
              </w:rPr>
            </w:pPr>
            <w:r w:rsidRPr="00C96AA5">
              <w:rPr>
                <w:color w:val="000000"/>
                <w:sz w:val="22"/>
                <w:szCs w:val="22"/>
              </w:rPr>
              <w:t>Internal agency/</w:t>
            </w:r>
            <w:r w:rsidRPr="00C96AA5">
              <w:rPr>
                <w:color w:val="000000"/>
                <w:sz w:val="22"/>
                <w:szCs w:val="22"/>
              </w:rPr>
              <w:br/>
              <w:t>post-commitment</w:t>
            </w:r>
          </w:p>
        </w:tc>
        <w:tc>
          <w:tcPr>
            <w:tcW w:w="1804" w:type="dxa"/>
            <w:vMerge w:val="restart"/>
            <w:tcBorders>
              <w:top w:val="nil"/>
              <w:left w:val="nil"/>
              <w:bottom w:val="single" w:sz="4" w:space="0" w:color="000000"/>
              <w:right w:val="nil"/>
            </w:tcBorders>
            <w:shd w:val="clear" w:color="000000" w:fill="FFFFFF"/>
            <w:vAlign w:val="center"/>
            <w:hideMark/>
          </w:tcPr>
          <w:p w14:paraId="759A59B3" w14:textId="77777777" w:rsidR="00C96AA5" w:rsidRPr="00C96AA5" w:rsidRDefault="00C96AA5" w:rsidP="00377A6F">
            <w:pPr>
              <w:jc w:val="center"/>
              <w:rPr>
                <w:color w:val="000000"/>
                <w:sz w:val="22"/>
                <w:szCs w:val="22"/>
              </w:rPr>
            </w:pPr>
            <w:r w:rsidRPr="00C96AA5">
              <w:rPr>
                <w:color w:val="000000"/>
                <w:sz w:val="22"/>
                <w:szCs w:val="22"/>
              </w:rPr>
              <w:t>External agency/</w:t>
            </w:r>
            <w:r w:rsidRPr="00C96AA5">
              <w:rPr>
                <w:color w:val="000000"/>
                <w:sz w:val="22"/>
                <w:szCs w:val="22"/>
              </w:rPr>
              <w:br/>
              <w:t>post-commitment</w:t>
            </w:r>
          </w:p>
        </w:tc>
        <w:tc>
          <w:tcPr>
            <w:tcW w:w="1666" w:type="dxa"/>
            <w:vMerge/>
            <w:tcBorders>
              <w:top w:val="nil"/>
              <w:left w:val="nil"/>
              <w:bottom w:val="single" w:sz="4" w:space="0" w:color="000000"/>
              <w:right w:val="nil"/>
            </w:tcBorders>
            <w:vAlign w:val="center"/>
            <w:hideMark/>
          </w:tcPr>
          <w:p w14:paraId="3D70260F" w14:textId="77777777" w:rsidR="00C96AA5" w:rsidRPr="00C96AA5" w:rsidRDefault="00C96AA5" w:rsidP="00377A6F">
            <w:pPr>
              <w:rPr>
                <w:color w:val="000000"/>
                <w:sz w:val="22"/>
                <w:szCs w:val="22"/>
              </w:rPr>
            </w:pPr>
          </w:p>
        </w:tc>
      </w:tr>
      <w:tr w:rsidR="00C96AA5" w:rsidRPr="00C96AA5" w14:paraId="7061A34A" w14:textId="77777777" w:rsidTr="00180692">
        <w:trPr>
          <w:trHeight w:val="77"/>
        </w:trPr>
        <w:tc>
          <w:tcPr>
            <w:tcW w:w="2046" w:type="dxa"/>
            <w:vMerge/>
            <w:tcBorders>
              <w:top w:val="nil"/>
              <w:left w:val="nil"/>
              <w:bottom w:val="single" w:sz="4" w:space="0" w:color="000000"/>
              <w:right w:val="nil"/>
            </w:tcBorders>
            <w:vAlign w:val="center"/>
            <w:hideMark/>
          </w:tcPr>
          <w:p w14:paraId="0DA8731D" w14:textId="77777777" w:rsidR="00C96AA5" w:rsidRPr="00C96AA5" w:rsidRDefault="00C96AA5" w:rsidP="00377A6F">
            <w:pPr>
              <w:rPr>
                <w:color w:val="000000"/>
                <w:sz w:val="22"/>
                <w:szCs w:val="22"/>
              </w:rPr>
            </w:pPr>
          </w:p>
        </w:tc>
        <w:tc>
          <w:tcPr>
            <w:tcW w:w="2046" w:type="dxa"/>
            <w:vMerge/>
            <w:tcBorders>
              <w:top w:val="nil"/>
              <w:left w:val="nil"/>
              <w:bottom w:val="nil"/>
              <w:right w:val="nil"/>
            </w:tcBorders>
            <w:vAlign w:val="center"/>
            <w:hideMark/>
          </w:tcPr>
          <w:p w14:paraId="1254DAA8" w14:textId="77777777" w:rsidR="00C96AA5" w:rsidRPr="00C96AA5" w:rsidRDefault="00C96AA5" w:rsidP="00377A6F">
            <w:pPr>
              <w:rPr>
                <w:color w:val="000000"/>
                <w:sz w:val="22"/>
                <w:szCs w:val="22"/>
              </w:rPr>
            </w:pPr>
          </w:p>
        </w:tc>
        <w:tc>
          <w:tcPr>
            <w:tcW w:w="1908" w:type="dxa"/>
            <w:vMerge/>
            <w:tcBorders>
              <w:top w:val="nil"/>
              <w:left w:val="nil"/>
              <w:bottom w:val="single" w:sz="4" w:space="0" w:color="000000"/>
              <w:right w:val="nil"/>
            </w:tcBorders>
            <w:vAlign w:val="center"/>
            <w:hideMark/>
          </w:tcPr>
          <w:p w14:paraId="5C551E92" w14:textId="77777777" w:rsidR="00C96AA5" w:rsidRPr="00C96AA5" w:rsidRDefault="00C96AA5" w:rsidP="00377A6F">
            <w:pPr>
              <w:rPr>
                <w:color w:val="000000"/>
                <w:sz w:val="22"/>
                <w:szCs w:val="22"/>
              </w:rPr>
            </w:pPr>
          </w:p>
        </w:tc>
        <w:tc>
          <w:tcPr>
            <w:tcW w:w="1799" w:type="dxa"/>
            <w:vMerge/>
            <w:tcBorders>
              <w:top w:val="nil"/>
              <w:left w:val="nil"/>
              <w:bottom w:val="single" w:sz="4" w:space="0" w:color="000000"/>
              <w:right w:val="nil"/>
            </w:tcBorders>
            <w:vAlign w:val="center"/>
            <w:hideMark/>
          </w:tcPr>
          <w:p w14:paraId="4882A214" w14:textId="77777777" w:rsidR="00C96AA5" w:rsidRPr="00C96AA5" w:rsidRDefault="00C96AA5" w:rsidP="00377A6F">
            <w:pPr>
              <w:rPr>
                <w:color w:val="000000"/>
                <w:sz w:val="22"/>
                <w:szCs w:val="22"/>
              </w:rPr>
            </w:pPr>
          </w:p>
        </w:tc>
        <w:tc>
          <w:tcPr>
            <w:tcW w:w="1804" w:type="dxa"/>
            <w:vMerge/>
            <w:tcBorders>
              <w:top w:val="nil"/>
              <w:left w:val="nil"/>
              <w:bottom w:val="single" w:sz="4" w:space="0" w:color="000000"/>
              <w:right w:val="nil"/>
            </w:tcBorders>
            <w:vAlign w:val="center"/>
            <w:hideMark/>
          </w:tcPr>
          <w:p w14:paraId="5690A757" w14:textId="77777777" w:rsidR="00C96AA5" w:rsidRPr="00C96AA5" w:rsidRDefault="00C96AA5" w:rsidP="00377A6F">
            <w:pPr>
              <w:rPr>
                <w:color w:val="000000"/>
                <w:sz w:val="22"/>
                <w:szCs w:val="22"/>
              </w:rPr>
            </w:pPr>
          </w:p>
        </w:tc>
        <w:tc>
          <w:tcPr>
            <w:tcW w:w="1666" w:type="dxa"/>
            <w:vMerge/>
            <w:tcBorders>
              <w:top w:val="nil"/>
              <w:left w:val="nil"/>
              <w:bottom w:val="single" w:sz="4" w:space="0" w:color="000000"/>
              <w:right w:val="nil"/>
            </w:tcBorders>
            <w:vAlign w:val="center"/>
            <w:hideMark/>
          </w:tcPr>
          <w:p w14:paraId="067098CA" w14:textId="77777777" w:rsidR="00C96AA5" w:rsidRPr="00C96AA5" w:rsidRDefault="00C96AA5" w:rsidP="00377A6F">
            <w:pPr>
              <w:rPr>
                <w:color w:val="000000"/>
                <w:sz w:val="22"/>
                <w:szCs w:val="22"/>
              </w:rPr>
            </w:pPr>
          </w:p>
        </w:tc>
        <w:tc>
          <w:tcPr>
            <w:tcW w:w="242" w:type="dxa"/>
            <w:tcBorders>
              <w:top w:val="nil"/>
              <w:left w:val="nil"/>
              <w:bottom w:val="nil"/>
              <w:right w:val="nil"/>
            </w:tcBorders>
            <w:shd w:val="clear" w:color="auto" w:fill="auto"/>
            <w:noWrap/>
            <w:vAlign w:val="bottom"/>
            <w:hideMark/>
          </w:tcPr>
          <w:p w14:paraId="28A22B3E" w14:textId="77777777" w:rsidR="00C96AA5" w:rsidRPr="00C96AA5" w:rsidRDefault="00C96AA5" w:rsidP="00377A6F">
            <w:pPr>
              <w:jc w:val="center"/>
              <w:rPr>
                <w:color w:val="000000"/>
                <w:sz w:val="22"/>
                <w:szCs w:val="22"/>
              </w:rPr>
            </w:pPr>
          </w:p>
        </w:tc>
      </w:tr>
      <w:tr w:rsidR="00C96AA5" w:rsidRPr="00C96AA5" w14:paraId="50928307" w14:textId="77777777" w:rsidTr="00180692">
        <w:trPr>
          <w:trHeight w:val="348"/>
        </w:trPr>
        <w:tc>
          <w:tcPr>
            <w:tcW w:w="2046" w:type="dxa"/>
            <w:vMerge w:val="restart"/>
            <w:tcBorders>
              <w:top w:val="nil"/>
              <w:left w:val="nil"/>
              <w:bottom w:val="nil"/>
              <w:right w:val="nil"/>
            </w:tcBorders>
            <w:shd w:val="clear" w:color="000000" w:fill="F2F2F2"/>
            <w:noWrap/>
            <w:vAlign w:val="center"/>
            <w:hideMark/>
          </w:tcPr>
          <w:p w14:paraId="4C29E855" w14:textId="77777777" w:rsidR="00C96AA5" w:rsidRDefault="00C96AA5" w:rsidP="00377A6F">
            <w:pPr>
              <w:jc w:val="center"/>
              <w:rPr>
                <w:color w:val="000000"/>
                <w:sz w:val="22"/>
                <w:szCs w:val="22"/>
              </w:rPr>
            </w:pPr>
            <w:r w:rsidRPr="00C96AA5">
              <w:rPr>
                <w:color w:val="000000"/>
                <w:sz w:val="22"/>
                <w:szCs w:val="22"/>
              </w:rPr>
              <w:t xml:space="preserve">Scenario 1 </w:t>
            </w:r>
          </w:p>
          <w:p w14:paraId="6CC24FCE" w14:textId="0DC7FC62" w:rsidR="00C96AA5" w:rsidRPr="00C96AA5" w:rsidRDefault="00C96AA5" w:rsidP="00377A6F">
            <w:pPr>
              <w:jc w:val="center"/>
              <w:rPr>
                <w:color w:val="000000"/>
                <w:sz w:val="22"/>
                <w:szCs w:val="22"/>
              </w:rPr>
            </w:pPr>
            <w:r w:rsidRPr="00C96AA5">
              <w:rPr>
                <w:color w:val="000000"/>
                <w:sz w:val="22"/>
                <w:szCs w:val="22"/>
              </w:rPr>
              <w:t>(Award)</w:t>
            </w:r>
          </w:p>
        </w:tc>
        <w:tc>
          <w:tcPr>
            <w:tcW w:w="2046" w:type="dxa"/>
            <w:tcBorders>
              <w:top w:val="single" w:sz="4" w:space="0" w:color="auto"/>
              <w:left w:val="nil"/>
              <w:bottom w:val="nil"/>
              <w:right w:val="nil"/>
            </w:tcBorders>
            <w:shd w:val="clear" w:color="000000" w:fill="F2F2F2"/>
            <w:noWrap/>
            <w:vAlign w:val="center"/>
            <w:hideMark/>
          </w:tcPr>
          <w:p w14:paraId="757C90D6" w14:textId="77777777" w:rsidR="00C96AA5" w:rsidRPr="00C96AA5" w:rsidRDefault="00C96AA5" w:rsidP="00377A6F">
            <w:pPr>
              <w:jc w:val="center"/>
              <w:rPr>
                <w:color w:val="000000"/>
                <w:sz w:val="22"/>
                <w:szCs w:val="22"/>
              </w:rPr>
            </w:pPr>
            <w:r w:rsidRPr="00C96AA5">
              <w:rPr>
                <w:color w:val="000000"/>
                <w:sz w:val="22"/>
                <w:szCs w:val="22"/>
              </w:rPr>
              <w:t>Feeling Wording</w:t>
            </w:r>
          </w:p>
        </w:tc>
        <w:tc>
          <w:tcPr>
            <w:tcW w:w="1908" w:type="dxa"/>
            <w:tcBorders>
              <w:top w:val="nil"/>
              <w:left w:val="nil"/>
              <w:bottom w:val="nil"/>
              <w:right w:val="nil"/>
            </w:tcBorders>
            <w:shd w:val="clear" w:color="000000" w:fill="F2F2F2"/>
            <w:noWrap/>
            <w:vAlign w:val="center"/>
            <w:hideMark/>
          </w:tcPr>
          <w:p w14:paraId="46CD5D73" w14:textId="77777777" w:rsidR="00C96AA5" w:rsidRPr="00C96AA5" w:rsidRDefault="00C96AA5" w:rsidP="00377A6F">
            <w:pPr>
              <w:jc w:val="center"/>
              <w:rPr>
                <w:color w:val="000000"/>
                <w:sz w:val="22"/>
                <w:szCs w:val="22"/>
              </w:rPr>
            </w:pPr>
            <w:r w:rsidRPr="00C96AA5">
              <w:rPr>
                <w:color w:val="000000"/>
                <w:sz w:val="22"/>
                <w:szCs w:val="22"/>
              </w:rPr>
              <w:t>0.33 (0.76)</w:t>
            </w:r>
          </w:p>
        </w:tc>
        <w:tc>
          <w:tcPr>
            <w:tcW w:w="1799" w:type="dxa"/>
            <w:tcBorders>
              <w:top w:val="nil"/>
              <w:left w:val="nil"/>
              <w:bottom w:val="nil"/>
              <w:right w:val="nil"/>
            </w:tcBorders>
            <w:shd w:val="clear" w:color="000000" w:fill="F2F2F2"/>
            <w:noWrap/>
            <w:vAlign w:val="center"/>
            <w:hideMark/>
          </w:tcPr>
          <w:p w14:paraId="4F86DA6B" w14:textId="77777777" w:rsidR="00C96AA5" w:rsidRPr="00C96AA5" w:rsidRDefault="00C96AA5" w:rsidP="00377A6F">
            <w:pPr>
              <w:jc w:val="center"/>
              <w:rPr>
                <w:color w:val="000000"/>
                <w:sz w:val="22"/>
                <w:szCs w:val="22"/>
              </w:rPr>
            </w:pPr>
            <w:r w:rsidRPr="00C96AA5">
              <w:rPr>
                <w:color w:val="000000"/>
                <w:sz w:val="22"/>
                <w:szCs w:val="22"/>
              </w:rPr>
              <w:t>0.26 (0.92)</w:t>
            </w:r>
          </w:p>
        </w:tc>
        <w:tc>
          <w:tcPr>
            <w:tcW w:w="1804" w:type="dxa"/>
            <w:tcBorders>
              <w:top w:val="nil"/>
              <w:left w:val="nil"/>
              <w:bottom w:val="nil"/>
              <w:right w:val="nil"/>
            </w:tcBorders>
            <w:shd w:val="clear" w:color="000000" w:fill="F2F2F2"/>
            <w:noWrap/>
            <w:vAlign w:val="center"/>
            <w:hideMark/>
          </w:tcPr>
          <w:p w14:paraId="03762C51" w14:textId="77777777" w:rsidR="00C96AA5" w:rsidRPr="00C96AA5" w:rsidRDefault="00C96AA5" w:rsidP="00377A6F">
            <w:pPr>
              <w:jc w:val="center"/>
              <w:rPr>
                <w:color w:val="000000"/>
                <w:sz w:val="22"/>
                <w:szCs w:val="22"/>
              </w:rPr>
            </w:pPr>
            <w:r w:rsidRPr="00C96AA5">
              <w:rPr>
                <w:color w:val="000000"/>
                <w:sz w:val="22"/>
                <w:szCs w:val="22"/>
              </w:rPr>
              <w:t>0.18 (0.86)</w:t>
            </w:r>
          </w:p>
        </w:tc>
        <w:tc>
          <w:tcPr>
            <w:tcW w:w="1666" w:type="dxa"/>
            <w:tcBorders>
              <w:top w:val="single" w:sz="4" w:space="0" w:color="auto"/>
              <w:left w:val="nil"/>
              <w:bottom w:val="nil"/>
              <w:right w:val="nil"/>
            </w:tcBorders>
            <w:shd w:val="clear" w:color="000000" w:fill="F2F2F2"/>
            <w:noWrap/>
            <w:vAlign w:val="center"/>
            <w:hideMark/>
          </w:tcPr>
          <w:p w14:paraId="678ED30D" w14:textId="77777777" w:rsidR="00C96AA5" w:rsidRPr="00C96AA5" w:rsidRDefault="00C96AA5" w:rsidP="00377A6F">
            <w:pPr>
              <w:jc w:val="center"/>
              <w:rPr>
                <w:color w:val="000000"/>
                <w:sz w:val="22"/>
                <w:szCs w:val="22"/>
              </w:rPr>
            </w:pPr>
            <w:r w:rsidRPr="00C96AA5">
              <w:rPr>
                <w:color w:val="000000"/>
                <w:sz w:val="22"/>
                <w:szCs w:val="22"/>
              </w:rPr>
              <w:t>0.26</w:t>
            </w:r>
          </w:p>
        </w:tc>
        <w:tc>
          <w:tcPr>
            <w:tcW w:w="242" w:type="dxa"/>
            <w:vAlign w:val="center"/>
            <w:hideMark/>
          </w:tcPr>
          <w:p w14:paraId="6D437954" w14:textId="77777777" w:rsidR="00C96AA5" w:rsidRPr="00C96AA5" w:rsidRDefault="00C96AA5" w:rsidP="00377A6F">
            <w:pPr>
              <w:rPr>
                <w:sz w:val="22"/>
                <w:szCs w:val="22"/>
              </w:rPr>
            </w:pPr>
          </w:p>
        </w:tc>
      </w:tr>
      <w:tr w:rsidR="00C96AA5" w:rsidRPr="00C96AA5" w14:paraId="4A50B947" w14:textId="77777777" w:rsidTr="00180692">
        <w:trPr>
          <w:trHeight w:val="327"/>
        </w:trPr>
        <w:tc>
          <w:tcPr>
            <w:tcW w:w="2046" w:type="dxa"/>
            <w:vMerge/>
            <w:tcBorders>
              <w:top w:val="nil"/>
              <w:left w:val="nil"/>
              <w:bottom w:val="nil"/>
              <w:right w:val="nil"/>
            </w:tcBorders>
            <w:vAlign w:val="center"/>
            <w:hideMark/>
          </w:tcPr>
          <w:p w14:paraId="1FB97298" w14:textId="77777777" w:rsidR="00C96AA5" w:rsidRPr="00C96AA5" w:rsidRDefault="00C96AA5" w:rsidP="00377A6F">
            <w:pPr>
              <w:rPr>
                <w:color w:val="000000"/>
                <w:sz w:val="22"/>
                <w:szCs w:val="22"/>
              </w:rPr>
            </w:pPr>
          </w:p>
        </w:tc>
        <w:tc>
          <w:tcPr>
            <w:tcW w:w="2046" w:type="dxa"/>
            <w:tcBorders>
              <w:top w:val="nil"/>
              <w:left w:val="nil"/>
              <w:bottom w:val="nil"/>
              <w:right w:val="nil"/>
            </w:tcBorders>
            <w:shd w:val="clear" w:color="000000" w:fill="F2F2F2"/>
            <w:noWrap/>
            <w:vAlign w:val="center"/>
            <w:hideMark/>
          </w:tcPr>
          <w:p w14:paraId="286DFCE6" w14:textId="77777777" w:rsidR="00C96AA5" w:rsidRPr="00C96AA5" w:rsidRDefault="00C96AA5" w:rsidP="00377A6F">
            <w:pPr>
              <w:jc w:val="center"/>
              <w:rPr>
                <w:color w:val="000000"/>
                <w:sz w:val="22"/>
                <w:szCs w:val="22"/>
              </w:rPr>
            </w:pPr>
            <w:r w:rsidRPr="00C96AA5">
              <w:rPr>
                <w:color w:val="000000"/>
                <w:sz w:val="22"/>
                <w:szCs w:val="22"/>
              </w:rPr>
              <w:t>Thinking Wording</w:t>
            </w:r>
          </w:p>
        </w:tc>
        <w:tc>
          <w:tcPr>
            <w:tcW w:w="1908" w:type="dxa"/>
            <w:tcBorders>
              <w:top w:val="nil"/>
              <w:left w:val="nil"/>
              <w:bottom w:val="nil"/>
              <w:right w:val="nil"/>
            </w:tcBorders>
            <w:shd w:val="clear" w:color="000000" w:fill="F2F2F2"/>
            <w:noWrap/>
            <w:vAlign w:val="center"/>
            <w:hideMark/>
          </w:tcPr>
          <w:p w14:paraId="1E8BC891" w14:textId="77777777" w:rsidR="00C96AA5" w:rsidRPr="00C96AA5" w:rsidRDefault="00C96AA5" w:rsidP="00377A6F">
            <w:pPr>
              <w:jc w:val="center"/>
              <w:rPr>
                <w:color w:val="000000"/>
                <w:sz w:val="22"/>
                <w:szCs w:val="22"/>
              </w:rPr>
            </w:pPr>
            <w:r w:rsidRPr="00C96AA5">
              <w:rPr>
                <w:color w:val="000000"/>
                <w:sz w:val="22"/>
                <w:szCs w:val="22"/>
              </w:rPr>
              <w:t>0.35 (0.86)</w:t>
            </w:r>
          </w:p>
        </w:tc>
        <w:tc>
          <w:tcPr>
            <w:tcW w:w="1799" w:type="dxa"/>
            <w:tcBorders>
              <w:top w:val="nil"/>
              <w:left w:val="nil"/>
              <w:bottom w:val="nil"/>
              <w:right w:val="nil"/>
            </w:tcBorders>
            <w:shd w:val="clear" w:color="000000" w:fill="F2F2F2"/>
            <w:noWrap/>
            <w:vAlign w:val="center"/>
            <w:hideMark/>
          </w:tcPr>
          <w:p w14:paraId="739A2150" w14:textId="77777777" w:rsidR="00C96AA5" w:rsidRPr="00C96AA5" w:rsidRDefault="00C96AA5" w:rsidP="00377A6F">
            <w:pPr>
              <w:jc w:val="center"/>
              <w:rPr>
                <w:color w:val="000000"/>
                <w:sz w:val="22"/>
                <w:szCs w:val="22"/>
              </w:rPr>
            </w:pPr>
            <w:r w:rsidRPr="00C96AA5">
              <w:rPr>
                <w:color w:val="000000"/>
                <w:sz w:val="22"/>
                <w:szCs w:val="22"/>
              </w:rPr>
              <w:t>0.37 (0.75)</w:t>
            </w:r>
          </w:p>
        </w:tc>
        <w:tc>
          <w:tcPr>
            <w:tcW w:w="1804" w:type="dxa"/>
            <w:tcBorders>
              <w:top w:val="nil"/>
              <w:left w:val="nil"/>
              <w:bottom w:val="nil"/>
              <w:right w:val="nil"/>
            </w:tcBorders>
            <w:shd w:val="clear" w:color="000000" w:fill="F2F2F2"/>
            <w:noWrap/>
            <w:vAlign w:val="center"/>
            <w:hideMark/>
          </w:tcPr>
          <w:p w14:paraId="7AFCF491" w14:textId="77777777" w:rsidR="00C96AA5" w:rsidRPr="00C96AA5" w:rsidRDefault="00C96AA5" w:rsidP="00377A6F">
            <w:pPr>
              <w:jc w:val="center"/>
              <w:rPr>
                <w:color w:val="000000"/>
                <w:sz w:val="22"/>
                <w:szCs w:val="22"/>
              </w:rPr>
            </w:pPr>
            <w:r w:rsidRPr="00C96AA5">
              <w:rPr>
                <w:color w:val="000000"/>
                <w:sz w:val="22"/>
                <w:szCs w:val="22"/>
              </w:rPr>
              <w:t>0.20 (0.84)</w:t>
            </w:r>
          </w:p>
        </w:tc>
        <w:tc>
          <w:tcPr>
            <w:tcW w:w="1666" w:type="dxa"/>
            <w:tcBorders>
              <w:top w:val="nil"/>
              <w:left w:val="nil"/>
              <w:bottom w:val="nil"/>
              <w:right w:val="nil"/>
            </w:tcBorders>
            <w:shd w:val="clear" w:color="000000" w:fill="F2F2F2"/>
            <w:noWrap/>
            <w:vAlign w:val="center"/>
            <w:hideMark/>
          </w:tcPr>
          <w:p w14:paraId="553F5E47" w14:textId="77777777" w:rsidR="00C96AA5" w:rsidRPr="00C96AA5" w:rsidRDefault="00C96AA5" w:rsidP="00377A6F">
            <w:pPr>
              <w:jc w:val="center"/>
              <w:rPr>
                <w:color w:val="000000"/>
                <w:sz w:val="22"/>
                <w:szCs w:val="22"/>
              </w:rPr>
            </w:pPr>
            <w:r w:rsidRPr="00C96AA5">
              <w:rPr>
                <w:color w:val="000000"/>
                <w:sz w:val="22"/>
                <w:szCs w:val="22"/>
              </w:rPr>
              <w:t>0.31</w:t>
            </w:r>
          </w:p>
        </w:tc>
        <w:tc>
          <w:tcPr>
            <w:tcW w:w="242" w:type="dxa"/>
            <w:vAlign w:val="center"/>
            <w:hideMark/>
          </w:tcPr>
          <w:p w14:paraId="7B10B084" w14:textId="77777777" w:rsidR="00C96AA5" w:rsidRPr="00C96AA5" w:rsidRDefault="00C96AA5" w:rsidP="00377A6F">
            <w:pPr>
              <w:rPr>
                <w:sz w:val="22"/>
                <w:szCs w:val="22"/>
              </w:rPr>
            </w:pPr>
          </w:p>
        </w:tc>
      </w:tr>
      <w:tr w:rsidR="00C96AA5" w:rsidRPr="00C96AA5" w14:paraId="2E49FDC4" w14:textId="77777777" w:rsidTr="00180692">
        <w:trPr>
          <w:trHeight w:val="348"/>
        </w:trPr>
        <w:tc>
          <w:tcPr>
            <w:tcW w:w="2046" w:type="dxa"/>
            <w:vMerge w:val="restart"/>
            <w:tcBorders>
              <w:top w:val="nil"/>
              <w:left w:val="nil"/>
              <w:bottom w:val="nil"/>
              <w:right w:val="nil"/>
            </w:tcBorders>
            <w:shd w:val="clear" w:color="000000" w:fill="FFFFFF"/>
            <w:noWrap/>
            <w:vAlign w:val="center"/>
            <w:hideMark/>
          </w:tcPr>
          <w:p w14:paraId="15E0C66A" w14:textId="77777777" w:rsidR="00C96AA5" w:rsidRPr="00C96AA5" w:rsidRDefault="00C96AA5" w:rsidP="00377A6F">
            <w:pPr>
              <w:jc w:val="center"/>
              <w:rPr>
                <w:color w:val="000000"/>
                <w:sz w:val="22"/>
                <w:szCs w:val="22"/>
              </w:rPr>
            </w:pPr>
            <w:r w:rsidRPr="00C96AA5">
              <w:rPr>
                <w:color w:val="000000"/>
                <w:sz w:val="22"/>
                <w:szCs w:val="22"/>
              </w:rPr>
              <w:t>Scenario 2 (Surgery)</w:t>
            </w:r>
          </w:p>
        </w:tc>
        <w:tc>
          <w:tcPr>
            <w:tcW w:w="2046" w:type="dxa"/>
            <w:tcBorders>
              <w:top w:val="nil"/>
              <w:left w:val="nil"/>
              <w:bottom w:val="nil"/>
              <w:right w:val="nil"/>
            </w:tcBorders>
            <w:shd w:val="clear" w:color="000000" w:fill="FFFFFF"/>
            <w:noWrap/>
            <w:vAlign w:val="center"/>
            <w:hideMark/>
          </w:tcPr>
          <w:p w14:paraId="6B28A061" w14:textId="77777777" w:rsidR="00C96AA5" w:rsidRPr="00C96AA5" w:rsidRDefault="00C96AA5" w:rsidP="00377A6F">
            <w:pPr>
              <w:jc w:val="center"/>
              <w:rPr>
                <w:color w:val="000000"/>
                <w:sz w:val="22"/>
                <w:szCs w:val="22"/>
              </w:rPr>
            </w:pPr>
            <w:r w:rsidRPr="00C96AA5">
              <w:rPr>
                <w:color w:val="000000"/>
                <w:sz w:val="22"/>
                <w:szCs w:val="22"/>
              </w:rPr>
              <w:t>Feeling Wording</w:t>
            </w:r>
          </w:p>
        </w:tc>
        <w:tc>
          <w:tcPr>
            <w:tcW w:w="1908" w:type="dxa"/>
            <w:tcBorders>
              <w:top w:val="nil"/>
              <w:left w:val="nil"/>
              <w:bottom w:val="nil"/>
              <w:right w:val="nil"/>
            </w:tcBorders>
            <w:shd w:val="clear" w:color="000000" w:fill="FFFFFF"/>
            <w:noWrap/>
            <w:vAlign w:val="center"/>
            <w:hideMark/>
          </w:tcPr>
          <w:p w14:paraId="109D9B35" w14:textId="77777777" w:rsidR="00C96AA5" w:rsidRPr="00C96AA5" w:rsidRDefault="00C96AA5" w:rsidP="00377A6F">
            <w:pPr>
              <w:jc w:val="center"/>
              <w:rPr>
                <w:color w:val="000000"/>
                <w:sz w:val="22"/>
                <w:szCs w:val="22"/>
              </w:rPr>
            </w:pPr>
            <w:r w:rsidRPr="00C96AA5">
              <w:rPr>
                <w:color w:val="000000"/>
                <w:sz w:val="22"/>
                <w:szCs w:val="22"/>
              </w:rPr>
              <w:t>0.27 (0.84)</w:t>
            </w:r>
          </w:p>
        </w:tc>
        <w:tc>
          <w:tcPr>
            <w:tcW w:w="1799" w:type="dxa"/>
            <w:tcBorders>
              <w:top w:val="nil"/>
              <w:left w:val="nil"/>
              <w:bottom w:val="nil"/>
              <w:right w:val="nil"/>
            </w:tcBorders>
            <w:shd w:val="clear" w:color="000000" w:fill="FFFFFF"/>
            <w:noWrap/>
            <w:vAlign w:val="center"/>
            <w:hideMark/>
          </w:tcPr>
          <w:p w14:paraId="0957FE60" w14:textId="77777777" w:rsidR="00C96AA5" w:rsidRPr="00C96AA5" w:rsidRDefault="00C96AA5" w:rsidP="00377A6F">
            <w:pPr>
              <w:jc w:val="center"/>
              <w:rPr>
                <w:color w:val="000000"/>
                <w:sz w:val="22"/>
                <w:szCs w:val="22"/>
              </w:rPr>
            </w:pPr>
            <w:r w:rsidRPr="00C96AA5">
              <w:rPr>
                <w:color w:val="000000"/>
                <w:sz w:val="22"/>
                <w:szCs w:val="22"/>
              </w:rPr>
              <w:t>0.71 (0.89)</w:t>
            </w:r>
          </w:p>
        </w:tc>
        <w:tc>
          <w:tcPr>
            <w:tcW w:w="1804" w:type="dxa"/>
            <w:tcBorders>
              <w:top w:val="nil"/>
              <w:left w:val="nil"/>
              <w:bottom w:val="nil"/>
              <w:right w:val="nil"/>
            </w:tcBorders>
            <w:shd w:val="clear" w:color="000000" w:fill="FFFFFF"/>
            <w:noWrap/>
            <w:vAlign w:val="center"/>
            <w:hideMark/>
          </w:tcPr>
          <w:p w14:paraId="0FC64C3F" w14:textId="77777777" w:rsidR="00C96AA5" w:rsidRPr="00C96AA5" w:rsidRDefault="00C96AA5" w:rsidP="00377A6F">
            <w:pPr>
              <w:jc w:val="center"/>
              <w:rPr>
                <w:color w:val="000000"/>
                <w:sz w:val="22"/>
                <w:szCs w:val="22"/>
              </w:rPr>
            </w:pPr>
            <w:r w:rsidRPr="00C96AA5">
              <w:rPr>
                <w:color w:val="000000"/>
                <w:sz w:val="22"/>
                <w:szCs w:val="22"/>
              </w:rPr>
              <w:t>0.65 (0.83)</w:t>
            </w:r>
          </w:p>
        </w:tc>
        <w:tc>
          <w:tcPr>
            <w:tcW w:w="1666" w:type="dxa"/>
            <w:tcBorders>
              <w:top w:val="nil"/>
              <w:left w:val="nil"/>
              <w:bottom w:val="nil"/>
              <w:right w:val="nil"/>
            </w:tcBorders>
            <w:shd w:val="clear" w:color="000000" w:fill="FFFFFF"/>
            <w:noWrap/>
            <w:vAlign w:val="center"/>
            <w:hideMark/>
          </w:tcPr>
          <w:p w14:paraId="4567B62C" w14:textId="77777777" w:rsidR="00C96AA5" w:rsidRPr="00C96AA5" w:rsidRDefault="00C96AA5" w:rsidP="00377A6F">
            <w:pPr>
              <w:jc w:val="center"/>
              <w:rPr>
                <w:color w:val="000000"/>
                <w:sz w:val="22"/>
                <w:szCs w:val="22"/>
              </w:rPr>
            </w:pPr>
            <w:r w:rsidRPr="00C96AA5">
              <w:rPr>
                <w:color w:val="000000"/>
                <w:sz w:val="22"/>
                <w:szCs w:val="22"/>
              </w:rPr>
              <w:t>0.54</w:t>
            </w:r>
          </w:p>
        </w:tc>
        <w:tc>
          <w:tcPr>
            <w:tcW w:w="242" w:type="dxa"/>
            <w:vAlign w:val="center"/>
            <w:hideMark/>
          </w:tcPr>
          <w:p w14:paraId="36C4930C" w14:textId="77777777" w:rsidR="00C96AA5" w:rsidRPr="00C96AA5" w:rsidRDefault="00C96AA5" w:rsidP="00377A6F">
            <w:pPr>
              <w:rPr>
                <w:sz w:val="22"/>
                <w:szCs w:val="22"/>
              </w:rPr>
            </w:pPr>
          </w:p>
        </w:tc>
      </w:tr>
      <w:tr w:rsidR="00C96AA5" w:rsidRPr="00C96AA5" w14:paraId="3BFBDDE2" w14:textId="77777777" w:rsidTr="00180692">
        <w:trPr>
          <w:trHeight w:val="318"/>
        </w:trPr>
        <w:tc>
          <w:tcPr>
            <w:tcW w:w="2046" w:type="dxa"/>
            <w:vMerge/>
            <w:tcBorders>
              <w:top w:val="nil"/>
              <w:left w:val="nil"/>
              <w:bottom w:val="nil"/>
              <w:right w:val="nil"/>
            </w:tcBorders>
            <w:vAlign w:val="center"/>
            <w:hideMark/>
          </w:tcPr>
          <w:p w14:paraId="679909D7" w14:textId="77777777" w:rsidR="00C96AA5" w:rsidRPr="00C96AA5" w:rsidRDefault="00C96AA5" w:rsidP="00377A6F">
            <w:pPr>
              <w:rPr>
                <w:color w:val="000000"/>
                <w:sz w:val="22"/>
                <w:szCs w:val="22"/>
              </w:rPr>
            </w:pPr>
          </w:p>
        </w:tc>
        <w:tc>
          <w:tcPr>
            <w:tcW w:w="2046" w:type="dxa"/>
            <w:tcBorders>
              <w:top w:val="nil"/>
              <w:left w:val="nil"/>
              <w:bottom w:val="nil"/>
              <w:right w:val="nil"/>
            </w:tcBorders>
            <w:shd w:val="clear" w:color="000000" w:fill="FFFFFF"/>
            <w:noWrap/>
            <w:vAlign w:val="center"/>
            <w:hideMark/>
          </w:tcPr>
          <w:p w14:paraId="751B5B70" w14:textId="77777777" w:rsidR="00C96AA5" w:rsidRPr="00C96AA5" w:rsidRDefault="00C96AA5" w:rsidP="00377A6F">
            <w:pPr>
              <w:jc w:val="center"/>
              <w:rPr>
                <w:color w:val="000000"/>
                <w:sz w:val="22"/>
                <w:szCs w:val="22"/>
              </w:rPr>
            </w:pPr>
            <w:r w:rsidRPr="00C96AA5">
              <w:rPr>
                <w:color w:val="000000"/>
                <w:sz w:val="22"/>
                <w:szCs w:val="22"/>
              </w:rPr>
              <w:t>Thinking Wording</w:t>
            </w:r>
          </w:p>
        </w:tc>
        <w:tc>
          <w:tcPr>
            <w:tcW w:w="1908" w:type="dxa"/>
            <w:tcBorders>
              <w:top w:val="nil"/>
              <w:left w:val="nil"/>
              <w:bottom w:val="nil"/>
              <w:right w:val="nil"/>
            </w:tcBorders>
            <w:shd w:val="clear" w:color="000000" w:fill="FFFFFF"/>
            <w:noWrap/>
            <w:vAlign w:val="center"/>
            <w:hideMark/>
          </w:tcPr>
          <w:p w14:paraId="358FCBD4" w14:textId="77777777" w:rsidR="00C96AA5" w:rsidRPr="00C96AA5" w:rsidRDefault="00C96AA5" w:rsidP="00377A6F">
            <w:pPr>
              <w:jc w:val="center"/>
              <w:rPr>
                <w:color w:val="000000"/>
                <w:sz w:val="22"/>
                <w:szCs w:val="22"/>
              </w:rPr>
            </w:pPr>
            <w:r w:rsidRPr="00C96AA5">
              <w:rPr>
                <w:color w:val="000000"/>
                <w:sz w:val="22"/>
                <w:szCs w:val="22"/>
              </w:rPr>
              <w:t>0.29 (0.81)</w:t>
            </w:r>
          </w:p>
        </w:tc>
        <w:tc>
          <w:tcPr>
            <w:tcW w:w="1799" w:type="dxa"/>
            <w:tcBorders>
              <w:top w:val="nil"/>
              <w:left w:val="nil"/>
              <w:bottom w:val="nil"/>
              <w:right w:val="nil"/>
            </w:tcBorders>
            <w:shd w:val="clear" w:color="000000" w:fill="FFFFFF"/>
            <w:noWrap/>
            <w:vAlign w:val="center"/>
            <w:hideMark/>
          </w:tcPr>
          <w:p w14:paraId="688B4C78" w14:textId="77777777" w:rsidR="00C96AA5" w:rsidRPr="00C96AA5" w:rsidRDefault="00C96AA5" w:rsidP="00377A6F">
            <w:pPr>
              <w:jc w:val="center"/>
              <w:rPr>
                <w:color w:val="000000"/>
                <w:sz w:val="22"/>
                <w:szCs w:val="22"/>
              </w:rPr>
            </w:pPr>
            <w:r w:rsidRPr="00C96AA5">
              <w:rPr>
                <w:color w:val="000000"/>
                <w:sz w:val="22"/>
                <w:szCs w:val="22"/>
              </w:rPr>
              <w:t>0.50 (0.77)</w:t>
            </w:r>
          </w:p>
        </w:tc>
        <w:tc>
          <w:tcPr>
            <w:tcW w:w="1804" w:type="dxa"/>
            <w:tcBorders>
              <w:top w:val="nil"/>
              <w:left w:val="nil"/>
              <w:bottom w:val="nil"/>
              <w:right w:val="nil"/>
            </w:tcBorders>
            <w:shd w:val="clear" w:color="000000" w:fill="FFFFFF"/>
            <w:noWrap/>
            <w:vAlign w:val="center"/>
            <w:hideMark/>
          </w:tcPr>
          <w:p w14:paraId="43018A3C" w14:textId="77777777" w:rsidR="00C96AA5" w:rsidRPr="00C96AA5" w:rsidRDefault="00C96AA5" w:rsidP="00377A6F">
            <w:pPr>
              <w:jc w:val="center"/>
              <w:rPr>
                <w:color w:val="000000"/>
                <w:sz w:val="22"/>
                <w:szCs w:val="22"/>
              </w:rPr>
            </w:pPr>
            <w:r w:rsidRPr="00C96AA5">
              <w:rPr>
                <w:color w:val="000000"/>
                <w:sz w:val="22"/>
                <w:szCs w:val="22"/>
              </w:rPr>
              <w:t>0.58 (0.93)</w:t>
            </w:r>
          </w:p>
        </w:tc>
        <w:tc>
          <w:tcPr>
            <w:tcW w:w="1666" w:type="dxa"/>
            <w:tcBorders>
              <w:top w:val="nil"/>
              <w:left w:val="nil"/>
              <w:bottom w:val="nil"/>
              <w:right w:val="nil"/>
            </w:tcBorders>
            <w:shd w:val="clear" w:color="000000" w:fill="FFFFFF"/>
            <w:noWrap/>
            <w:vAlign w:val="center"/>
            <w:hideMark/>
          </w:tcPr>
          <w:p w14:paraId="2D20F631" w14:textId="77777777" w:rsidR="00C96AA5" w:rsidRPr="00C96AA5" w:rsidRDefault="00C96AA5" w:rsidP="00377A6F">
            <w:pPr>
              <w:jc w:val="center"/>
              <w:rPr>
                <w:color w:val="000000"/>
                <w:sz w:val="22"/>
                <w:szCs w:val="22"/>
              </w:rPr>
            </w:pPr>
            <w:r w:rsidRPr="00C96AA5">
              <w:rPr>
                <w:color w:val="000000"/>
                <w:sz w:val="22"/>
                <w:szCs w:val="22"/>
              </w:rPr>
              <w:t>0.46</w:t>
            </w:r>
          </w:p>
        </w:tc>
        <w:tc>
          <w:tcPr>
            <w:tcW w:w="242" w:type="dxa"/>
            <w:vAlign w:val="center"/>
            <w:hideMark/>
          </w:tcPr>
          <w:p w14:paraId="649179D5" w14:textId="77777777" w:rsidR="00C96AA5" w:rsidRPr="00C96AA5" w:rsidRDefault="00C96AA5" w:rsidP="00377A6F">
            <w:pPr>
              <w:rPr>
                <w:sz w:val="22"/>
                <w:szCs w:val="22"/>
              </w:rPr>
            </w:pPr>
          </w:p>
        </w:tc>
      </w:tr>
      <w:tr w:rsidR="00C96AA5" w:rsidRPr="00C96AA5" w14:paraId="5EAD6968" w14:textId="77777777" w:rsidTr="00180692">
        <w:trPr>
          <w:trHeight w:val="348"/>
        </w:trPr>
        <w:tc>
          <w:tcPr>
            <w:tcW w:w="2046" w:type="dxa"/>
            <w:vMerge w:val="restart"/>
            <w:tcBorders>
              <w:top w:val="nil"/>
              <w:left w:val="nil"/>
              <w:bottom w:val="single" w:sz="4" w:space="0" w:color="000000"/>
              <w:right w:val="nil"/>
            </w:tcBorders>
            <w:shd w:val="clear" w:color="000000" w:fill="F2F2F2"/>
            <w:noWrap/>
            <w:vAlign w:val="center"/>
            <w:hideMark/>
          </w:tcPr>
          <w:p w14:paraId="487C0A75" w14:textId="77777777" w:rsidR="00C96AA5" w:rsidRPr="00C96AA5" w:rsidRDefault="00C96AA5" w:rsidP="00377A6F">
            <w:pPr>
              <w:jc w:val="center"/>
              <w:rPr>
                <w:color w:val="000000"/>
                <w:sz w:val="22"/>
                <w:szCs w:val="22"/>
              </w:rPr>
            </w:pPr>
            <w:r w:rsidRPr="00C96AA5">
              <w:rPr>
                <w:color w:val="000000"/>
                <w:sz w:val="22"/>
                <w:szCs w:val="22"/>
              </w:rPr>
              <w:t>Scenario 3 (Investment)</w:t>
            </w:r>
          </w:p>
        </w:tc>
        <w:tc>
          <w:tcPr>
            <w:tcW w:w="2046" w:type="dxa"/>
            <w:tcBorders>
              <w:top w:val="nil"/>
              <w:left w:val="nil"/>
              <w:bottom w:val="nil"/>
              <w:right w:val="nil"/>
            </w:tcBorders>
            <w:shd w:val="clear" w:color="000000" w:fill="F2F2F2"/>
            <w:noWrap/>
            <w:vAlign w:val="center"/>
            <w:hideMark/>
          </w:tcPr>
          <w:p w14:paraId="59A9FECC" w14:textId="77777777" w:rsidR="00C96AA5" w:rsidRPr="00C96AA5" w:rsidRDefault="00C96AA5" w:rsidP="00377A6F">
            <w:pPr>
              <w:jc w:val="center"/>
              <w:rPr>
                <w:color w:val="000000"/>
                <w:sz w:val="22"/>
                <w:szCs w:val="22"/>
              </w:rPr>
            </w:pPr>
            <w:r w:rsidRPr="00C96AA5">
              <w:rPr>
                <w:color w:val="000000"/>
                <w:sz w:val="22"/>
                <w:szCs w:val="22"/>
              </w:rPr>
              <w:t>Feeling Wording</w:t>
            </w:r>
          </w:p>
        </w:tc>
        <w:tc>
          <w:tcPr>
            <w:tcW w:w="1908" w:type="dxa"/>
            <w:tcBorders>
              <w:top w:val="nil"/>
              <w:left w:val="nil"/>
              <w:bottom w:val="nil"/>
              <w:right w:val="nil"/>
            </w:tcBorders>
            <w:shd w:val="clear" w:color="000000" w:fill="F2F2F2"/>
            <w:noWrap/>
            <w:vAlign w:val="center"/>
            <w:hideMark/>
          </w:tcPr>
          <w:p w14:paraId="69A0BF35" w14:textId="77777777" w:rsidR="00C96AA5" w:rsidRPr="00C96AA5" w:rsidRDefault="00C96AA5" w:rsidP="00377A6F">
            <w:pPr>
              <w:jc w:val="center"/>
              <w:rPr>
                <w:color w:val="000000"/>
                <w:sz w:val="22"/>
                <w:szCs w:val="22"/>
              </w:rPr>
            </w:pPr>
            <w:r w:rsidRPr="00C96AA5">
              <w:rPr>
                <w:color w:val="000000"/>
                <w:sz w:val="22"/>
                <w:szCs w:val="22"/>
              </w:rPr>
              <w:t>0.48 (0.89)</w:t>
            </w:r>
          </w:p>
        </w:tc>
        <w:tc>
          <w:tcPr>
            <w:tcW w:w="1799" w:type="dxa"/>
            <w:tcBorders>
              <w:top w:val="nil"/>
              <w:left w:val="nil"/>
              <w:bottom w:val="nil"/>
              <w:right w:val="nil"/>
            </w:tcBorders>
            <w:shd w:val="clear" w:color="000000" w:fill="F2F2F2"/>
            <w:noWrap/>
            <w:vAlign w:val="center"/>
            <w:hideMark/>
          </w:tcPr>
          <w:p w14:paraId="56D4520F" w14:textId="77777777" w:rsidR="00C96AA5" w:rsidRPr="00C96AA5" w:rsidRDefault="00C96AA5" w:rsidP="00377A6F">
            <w:pPr>
              <w:jc w:val="center"/>
              <w:rPr>
                <w:color w:val="000000"/>
                <w:sz w:val="22"/>
                <w:szCs w:val="22"/>
              </w:rPr>
            </w:pPr>
            <w:r w:rsidRPr="00C96AA5">
              <w:rPr>
                <w:color w:val="000000"/>
                <w:sz w:val="22"/>
                <w:szCs w:val="22"/>
              </w:rPr>
              <w:t>0.74 (0.88)</w:t>
            </w:r>
          </w:p>
        </w:tc>
        <w:tc>
          <w:tcPr>
            <w:tcW w:w="1804" w:type="dxa"/>
            <w:tcBorders>
              <w:top w:val="nil"/>
              <w:left w:val="nil"/>
              <w:bottom w:val="nil"/>
              <w:right w:val="nil"/>
            </w:tcBorders>
            <w:shd w:val="clear" w:color="000000" w:fill="F2F2F2"/>
            <w:noWrap/>
            <w:vAlign w:val="center"/>
            <w:hideMark/>
          </w:tcPr>
          <w:p w14:paraId="2A5CE251" w14:textId="77777777" w:rsidR="00C96AA5" w:rsidRPr="00C96AA5" w:rsidRDefault="00C96AA5" w:rsidP="00377A6F">
            <w:pPr>
              <w:jc w:val="center"/>
              <w:rPr>
                <w:color w:val="000000"/>
                <w:sz w:val="22"/>
                <w:szCs w:val="22"/>
              </w:rPr>
            </w:pPr>
            <w:r w:rsidRPr="00C96AA5">
              <w:rPr>
                <w:color w:val="000000"/>
                <w:sz w:val="22"/>
                <w:szCs w:val="22"/>
              </w:rPr>
              <w:t>0.16 (0.99)</w:t>
            </w:r>
          </w:p>
        </w:tc>
        <w:tc>
          <w:tcPr>
            <w:tcW w:w="1666" w:type="dxa"/>
            <w:tcBorders>
              <w:top w:val="nil"/>
              <w:left w:val="nil"/>
              <w:bottom w:val="nil"/>
              <w:right w:val="nil"/>
            </w:tcBorders>
            <w:shd w:val="clear" w:color="000000" w:fill="F2F2F2"/>
            <w:noWrap/>
            <w:vAlign w:val="center"/>
            <w:hideMark/>
          </w:tcPr>
          <w:p w14:paraId="4863013C" w14:textId="77777777" w:rsidR="00C96AA5" w:rsidRPr="00C96AA5" w:rsidRDefault="00C96AA5" w:rsidP="00377A6F">
            <w:pPr>
              <w:jc w:val="center"/>
              <w:rPr>
                <w:color w:val="000000"/>
                <w:sz w:val="22"/>
                <w:szCs w:val="22"/>
              </w:rPr>
            </w:pPr>
            <w:r w:rsidRPr="00C96AA5">
              <w:rPr>
                <w:color w:val="000000"/>
                <w:sz w:val="22"/>
                <w:szCs w:val="22"/>
              </w:rPr>
              <w:t>0.46</w:t>
            </w:r>
          </w:p>
        </w:tc>
        <w:tc>
          <w:tcPr>
            <w:tcW w:w="242" w:type="dxa"/>
            <w:vAlign w:val="center"/>
            <w:hideMark/>
          </w:tcPr>
          <w:p w14:paraId="19334366" w14:textId="77777777" w:rsidR="00C96AA5" w:rsidRPr="00C96AA5" w:rsidRDefault="00C96AA5" w:rsidP="00377A6F">
            <w:pPr>
              <w:rPr>
                <w:sz w:val="22"/>
                <w:szCs w:val="22"/>
              </w:rPr>
            </w:pPr>
          </w:p>
        </w:tc>
      </w:tr>
      <w:tr w:rsidR="00C96AA5" w:rsidRPr="00C96AA5" w14:paraId="03C529ED" w14:textId="77777777" w:rsidTr="00180692">
        <w:trPr>
          <w:trHeight w:val="348"/>
        </w:trPr>
        <w:tc>
          <w:tcPr>
            <w:tcW w:w="2046" w:type="dxa"/>
            <w:vMerge/>
            <w:tcBorders>
              <w:top w:val="nil"/>
              <w:left w:val="nil"/>
              <w:bottom w:val="single" w:sz="4" w:space="0" w:color="000000"/>
              <w:right w:val="nil"/>
            </w:tcBorders>
            <w:vAlign w:val="center"/>
            <w:hideMark/>
          </w:tcPr>
          <w:p w14:paraId="3DB1B451" w14:textId="77777777" w:rsidR="00C96AA5" w:rsidRPr="00C96AA5" w:rsidRDefault="00C96AA5" w:rsidP="00377A6F">
            <w:pPr>
              <w:rPr>
                <w:color w:val="000000"/>
                <w:sz w:val="22"/>
                <w:szCs w:val="22"/>
              </w:rPr>
            </w:pPr>
          </w:p>
        </w:tc>
        <w:tc>
          <w:tcPr>
            <w:tcW w:w="2046" w:type="dxa"/>
            <w:tcBorders>
              <w:top w:val="nil"/>
              <w:left w:val="nil"/>
              <w:bottom w:val="single" w:sz="4" w:space="0" w:color="auto"/>
              <w:right w:val="nil"/>
            </w:tcBorders>
            <w:shd w:val="clear" w:color="000000" w:fill="F2F2F2"/>
            <w:noWrap/>
            <w:vAlign w:val="center"/>
            <w:hideMark/>
          </w:tcPr>
          <w:p w14:paraId="655F52BA" w14:textId="77777777" w:rsidR="00C96AA5" w:rsidRPr="00C96AA5" w:rsidRDefault="00C96AA5" w:rsidP="00377A6F">
            <w:pPr>
              <w:jc w:val="center"/>
              <w:rPr>
                <w:color w:val="000000"/>
                <w:sz w:val="22"/>
                <w:szCs w:val="22"/>
              </w:rPr>
            </w:pPr>
            <w:r w:rsidRPr="00C96AA5">
              <w:rPr>
                <w:color w:val="000000"/>
                <w:sz w:val="22"/>
                <w:szCs w:val="22"/>
              </w:rPr>
              <w:t>Thinking Wording</w:t>
            </w:r>
          </w:p>
        </w:tc>
        <w:tc>
          <w:tcPr>
            <w:tcW w:w="1908" w:type="dxa"/>
            <w:tcBorders>
              <w:top w:val="nil"/>
              <w:left w:val="nil"/>
              <w:bottom w:val="single" w:sz="4" w:space="0" w:color="auto"/>
              <w:right w:val="nil"/>
            </w:tcBorders>
            <w:shd w:val="clear" w:color="000000" w:fill="F2F2F2"/>
            <w:noWrap/>
            <w:vAlign w:val="center"/>
            <w:hideMark/>
          </w:tcPr>
          <w:p w14:paraId="14F59878" w14:textId="77777777" w:rsidR="00C96AA5" w:rsidRPr="00C96AA5" w:rsidRDefault="00C96AA5" w:rsidP="00377A6F">
            <w:pPr>
              <w:jc w:val="center"/>
              <w:rPr>
                <w:color w:val="000000"/>
                <w:sz w:val="22"/>
                <w:szCs w:val="22"/>
              </w:rPr>
            </w:pPr>
            <w:r w:rsidRPr="00C96AA5">
              <w:rPr>
                <w:color w:val="000000"/>
                <w:sz w:val="22"/>
                <w:szCs w:val="22"/>
              </w:rPr>
              <w:t>-0.10 (0.82)</w:t>
            </w:r>
          </w:p>
        </w:tc>
        <w:tc>
          <w:tcPr>
            <w:tcW w:w="1799" w:type="dxa"/>
            <w:tcBorders>
              <w:top w:val="nil"/>
              <w:left w:val="nil"/>
              <w:bottom w:val="single" w:sz="4" w:space="0" w:color="auto"/>
              <w:right w:val="nil"/>
            </w:tcBorders>
            <w:shd w:val="clear" w:color="000000" w:fill="F2F2F2"/>
            <w:noWrap/>
            <w:vAlign w:val="center"/>
            <w:hideMark/>
          </w:tcPr>
          <w:p w14:paraId="2CE6E07A" w14:textId="77777777" w:rsidR="00C96AA5" w:rsidRPr="00C96AA5" w:rsidRDefault="00C96AA5" w:rsidP="00377A6F">
            <w:pPr>
              <w:jc w:val="center"/>
              <w:rPr>
                <w:color w:val="000000"/>
                <w:sz w:val="22"/>
                <w:szCs w:val="22"/>
              </w:rPr>
            </w:pPr>
            <w:r w:rsidRPr="00C96AA5">
              <w:rPr>
                <w:color w:val="000000"/>
                <w:sz w:val="22"/>
                <w:szCs w:val="22"/>
              </w:rPr>
              <w:t>0.30 (0.89)</w:t>
            </w:r>
          </w:p>
        </w:tc>
        <w:tc>
          <w:tcPr>
            <w:tcW w:w="1804" w:type="dxa"/>
            <w:tcBorders>
              <w:top w:val="nil"/>
              <w:left w:val="nil"/>
              <w:bottom w:val="single" w:sz="4" w:space="0" w:color="auto"/>
              <w:right w:val="nil"/>
            </w:tcBorders>
            <w:shd w:val="clear" w:color="000000" w:fill="F2F2F2"/>
            <w:noWrap/>
            <w:vAlign w:val="center"/>
            <w:hideMark/>
          </w:tcPr>
          <w:p w14:paraId="303E7A98" w14:textId="77777777" w:rsidR="00C96AA5" w:rsidRPr="00C96AA5" w:rsidRDefault="00C96AA5" w:rsidP="00377A6F">
            <w:pPr>
              <w:jc w:val="center"/>
              <w:rPr>
                <w:color w:val="000000"/>
                <w:sz w:val="22"/>
                <w:szCs w:val="22"/>
              </w:rPr>
            </w:pPr>
            <w:r w:rsidRPr="00C96AA5">
              <w:rPr>
                <w:color w:val="000000"/>
                <w:sz w:val="22"/>
                <w:szCs w:val="22"/>
              </w:rPr>
              <w:t>0.30 (0.88)</w:t>
            </w:r>
          </w:p>
        </w:tc>
        <w:tc>
          <w:tcPr>
            <w:tcW w:w="1666" w:type="dxa"/>
            <w:tcBorders>
              <w:top w:val="nil"/>
              <w:left w:val="nil"/>
              <w:bottom w:val="single" w:sz="4" w:space="0" w:color="auto"/>
              <w:right w:val="nil"/>
            </w:tcBorders>
            <w:shd w:val="clear" w:color="000000" w:fill="F2F2F2"/>
            <w:noWrap/>
            <w:vAlign w:val="center"/>
            <w:hideMark/>
          </w:tcPr>
          <w:p w14:paraId="67F1DDA0" w14:textId="77777777" w:rsidR="00C96AA5" w:rsidRPr="00C96AA5" w:rsidRDefault="00C96AA5" w:rsidP="00377A6F">
            <w:pPr>
              <w:jc w:val="center"/>
              <w:rPr>
                <w:color w:val="000000"/>
                <w:sz w:val="22"/>
                <w:szCs w:val="22"/>
              </w:rPr>
            </w:pPr>
            <w:r w:rsidRPr="00C96AA5">
              <w:rPr>
                <w:color w:val="000000"/>
                <w:sz w:val="22"/>
                <w:szCs w:val="22"/>
              </w:rPr>
              <w:t>0.17</w:t>
            </w:r>
          </w:p>
        </w:tc>
        <w:tc>
          <w:tcPr>
            <w:tcW w:w="242" w:type="dxa"/>
            <w:vAlign w:val="center"/>
            <w:hideMark/>
          </w:tcPr>
          <w:p w14:paraId="44D03D1C" w14:textId="77777777" w:rsidR="00C96AA5" w:rsidRPr="00C96AA5" w:rsidRDefault="00C96AA5" w:rsidP="00377A6F">
            <w:pPr>
              <w:rPr>
                <w:sz w:val="22"/>
                <w:szCs w:val="22"/>
              </w:rPr>
            </w:pPr>
          </w:p>
        </w:tc>
      </w:tr>
      <w:tr w:rsidR="00C96AA5" w:rsidRPr="00C96AA5" w14:paraId="5844EB4A" w14:textId="77777777" w:rsidTr="00180692">
        <w:trPr>
          <w:trHeight w:val="471"/>
        </w:trPr>
        <w:tc>
          <w:tcPr>
            <w:tcW w:w="11269" w:type="dxa"/>
            <w:gridSpan w:val="6"/>
            <w:vMerge w:val="restart"/>
            <w:tcBorders>
              <w:top w:val="single" w:sz="4" w:space="0" w:color="auto"/>
              <w:left w:val="nil"/>
              <w:bottom w:val="nil"/>
              <w:right w:val="nil"/>
            </w:tcBorders>
            <w:shd w:val="clear" w:color="000000" w:fill="FFFFFF"/>
            <w:vAlign w:val="bottom"/>
            <w:hideMark/>
          </w:tcPr>
          <w:p w14:paraId="3DE618E7" w14:textId="7398DFE0" w:rsidR="00C96AA5" w:rsidRPr="00C96AA5" w:rsidRDefault="00C96AA5" w:rsidP="00377A6F">
            <w:pPr>
              <w:rPr>
                <w:color w:val="000000"/>
                <w:sz w:val="22"/>
                <w:szCs w:val="22"/>
              </w:rPr>
            </w:pPr>
            <w:r w:rsidRPr="00C96AA5">
              <w:rPr>
                <w:i/>
                <w:iCs/>
                <w:color w:val="000000"/>
                <w:sz w:val="22"/>
                <w:szCs w:val="22"/>
              </w:rPr>
              <w:t xml:space="preserve">Note. </w:t>
            </w:r>
            <w:r w:rsidR="001C6BC7" w:rsidRPr="00C96AA5">
              <w:rPr>
                <w:color w:val="000000"/>
                <w:sz w:val="22"/>
                <w:szCs w:val="22"/>
              </w:rPr>
              <w:t>Parenthetical</w:t>
            </w:r>
            <w:r w:rsidRPr="00C96AA5">
              <w:rPr>
                <w:color w:val="000000"/>
                <w:sz w:val="22"/>
                <w:szCs w:val="22"/>
              </w:rPr>
              <w:t xml:space="preserve"> numbers re</w:t>
            </w:r>
            <w:r w:rsidR="001C6BC7">
              <w:rPr>
                <w:color w:val="000000"/>
                <w:sz w:val="22"/>
                <w:szCs w:val="22"/>
              </w:rPr>
              <w:t>f</w:t>
            </w:r>
            <w:r w:rsidRPr="00C96AA5">
              <w:rPr>
                <w:color w:val="000000"/>
                <w:sz w:val="22"/>
                <w:szCs w:val="22"/>
              </w:rPr>
              <w:t xml:space="preserve">lect standard deviations. The Feeling wording prescription went from -2 (Extremely pessimistic) to +2 (Extremely optimistic), with the midpoint labeled as "Accurate". The Thinking wording prescription scale also went from -2 (Extremely pessimistic) to +2 (Extremely optimistic), with the midpoint labeled as "Accurate". </w:t>
            </w:r>
          </w:p>
        </w:tc>
        <w:tc>
          <w:tcPr>
            <w:tcW w:w="242" w:type="dxa"/>
            <w:vAlign w:val="center"/>
            <w:hideMark/>
          </w:tcPr>
          <w:p w14:paraId="3F562B69" w14:textId="77777777" w:rsidR="00C96AA5" w:rsidRPr="00C96AA5" w:rsidRDefault="00C96AA5" w:rsidP="00377A6F">
            <w:pPr>
              <w:rPr>
                <w:sz w:val="22"/>
                <w:szCs w:val="22"/>
              </w:rPr>
            </w:pPr>
          </w:p>
        </w:tc>
      </w:tr>
      <w:tr w:rsidR="00C96AA5" w:rsidRPr="00C96AA5" w14:paraId="0BB78EAF" w14:textId="77777777" w:rsidTr="00180692">
        <w:trPr>
          <w:trHeight w:val="278"/>
        </w:trPr>
        <w:tc>
          <w:tcPr>
            <w:tcW w:w="11269" w:type="dxa"/>
            <w:gridSpan w:val="6"/>
            <w:vMerge/>
            <w:tcBorders>
              <w:top w:val="single" w:sz="4" w:space="0" w:color="auto"/>
              <w:left w:val="nil"/>
              <w:bottom w:val="nil"/>
              <w:right w:val="nil"/>
            </w:tcBorders>
            <w:vAlign w:val="center"/>
            <w:hideMark/>
          </w:tcPr>
          <w:p w14:paraId="218C488A" w14:textId="77777777" w:rsidR="00C96AA5" w:rsidRPr="00C96AA5" w:rsidRDefault="00C96AA5" w:rsidP="00377A6F">
            <w:pPr>
              <w:rPr>
                <w:color w:val="000000"/>
                <w:sz w:val="22"/>
                <w:szCs w:val="22"/>
              </w:rPr>
            </w:pPr>
          </w:p>
        </w:tc>
        <w:tc>
          <w:tcPr>
            <w:tcW w:w="242" w:type="dxa"/>
            <w:tcBorders>
              <w:top w:val="nil"/>
              <w:left w:val="nil"/>
              <w:bottom w:val="nil"/>
              <w:right w:val="nil"/>
            </w:tcBorders>
            <w:shd w:val="clear" w:color="auto" w:fill="auto"/>
            <w:noWrap/>
            <w:vAlign w:val="bottom"/>
            <w:hideMark/>
          </w:tcPr>
          <w:p w14:paraId="1DC78EA2" w14:textId="77777777" w:rsidR="00C96AA5" w:rsidRPr="00C96AA5" w:rsidRDefault="00C96AA5" w:rsidP="00377A6F">
            <w:pPr>
              <w:rPr>
                <w:color w:val="000000"/>
                <w:sz w:val="22"/>
                <w:szCs w:val="22"/>
              </w:rPr>
            </w:pPr>
          </w:p>
        </w:tc>
      </w:tr>
    </w:tbl>
    <w:p w14:paraId="385BDC1E" w14:textId="77777777" w:rsidR="00377A6F" w:rsidRDefault="00377A6F" w:rsidP="00D80DF6">
      <w:pPr>
        <w:spacing w:line="480" w:lineRule="auto"/>
      </w:pPr>
    </w:p>
    <w:p w14:paraId="1624F01F" w14:textId="77777777" w:rsidR="00FB4818" w:rsidRDefault="00FB4818" w:rsidP="00FB4818">
      <w:pPr>
        <w:spacing w:line="480" w:lineRule="auto"/>
        <w:jc w:val="center"/>
        <w:rPr>
          <w:i/>
          <w:iCs/>
          <w:sz w:val="21"/>
          <w:szCs w:val="21"/>
        </w:rPr>
      </w:pPr>
      <w:r>
        <w:rPr>
          <w:noProof/>
        </w:rPr>
        <w:lastRenderedPageBreak/>
        <w:drawing>
          <wp:inline distT="0" distB="0" distL="0" distR="0" wp14:anchorId="42EE795B" wp14:editId="1AB4CBB1">
            <wp:extent cx="4467472" cy="4572000"/>
            <wp:effectExtent l="0" t="0" r="3175" b="0"/>
            <wp:docPr id="5" name="Picture 5"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ox and whisker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67472" cy="4572000"/>
                    </a:xfrm>
                    <a:prstGeom prst="rect">
                      <a:avLst/>
                    </a:prstGeom>
                  </pic:spPr>
                </pic:pic>
              </a:graphicData>
            </a:graphic>
          </wp:inline>
        </w:drawing>
      </w:r>
    </w:p>
    <w:p w14:paraId="4A8362F0" w14:textId="3125E73E" w:rsidR="00FB4818" w:rsidRPr="00FB4818" w:rsidRDefault="008B5155" w:rsidP="00FB4818">
      <w:pPr>
        <w:rPr>
          <w:sz w:val="20"/>
          <w:szCs w:val="20"/>
        </w:rPr>
      </w:pPr>
      <w:r w:rsidRPr="00FB4818">
        <w:rPr>
          <w:i/>
          <w:iCs/>
          <w:sz w:val="20"/>
          <w:szCs w:val="20"/>
        </w:rPr>
        <w:t xml:space="preserve">Figure 3. </w:t>
      </w:r>
      <w:r w:rsidR="00E6149D" w:rsidRPr="00FB4818">
        <w:rPr>
          <w:color w:val="000000" w:themeColor="text1"/>
          <w:sz w:val="20"/>
          <w:szCs w:val="20"/>
        </w:rPr>
        <w:t xml:space="preserve">Study 2 mean prescriptions per scenario version and prescription wording. </w:t>
      </w:r>
      <w:r w:rsidR="00FB4818" w:rsidRPr="00FB4818">
        <w:rPr>
          <w:color w:val="333333"/>
          <w:sz w:val="20"/>
          <w:szCs w:val="20"/>
        </w:rPr>
        <w:t>In each box plot, the symbol indicates the estimated mean, error bars indicate 95% confidence intervals, and the shaded box indicates the distribution of the data from the 25</w:t>
      </w:r>
      <w:r w:rsidR="00FB4818" w:rsidRPr="00FB4818">
        <w:rPr>
          <w:color w:val="333333"/>
          <w:sz w:val="20"/>
          <w:szCs w:val="20"/>
          <w:vertAlign w:val="superscript"/>
        </w:rPr>
        <w:t>th</w:t>
      </w:r>
      <w:r w:rsidR="00FB4818" w:rsidRPr="00FB4818">
        <w:rPr>
          <w:color w:val="333333"/>
          <w:sz w:val="20"/>
          <w:szCs w:val="20"/>
        </w:rPr>
        <w:t xml:space="preserve"> to the 75</w:t>
      </w:r>
      <w:r w:rsidR="00FB4818" w:rsidRPr="00FB4818">
        <w:rPr>
          <w:color w:val="333333"/>
          <w:sz w:val="20"/>
          <w:szCs w:val="20"/>
          <w:vertAlign w:val="superscript"/>
        </w:rPr>
        <w:t>th</w:t>
      </w:r>
      <w:r w:rsidR="00FB4818" w:rsidRPr="00FB4818">
        <w:rPr>
          <w:color w:val="333333"/>
          <w:sz w:val="20"/>
          <w:szCs w:val="20"/>
        </w:rPr>
        <w:t xml:space="preserve"> percentile.</w:t>
      </w:r>
    </w:p>
    <w:p w14:paraId="4854B895" w14:textId="2D777704" w:rsidR="006B69FD" w:rsidRDefault="00072F2A" w:rsidP="00FB4818">
      <w:pPr>
        <w:pStyle w:val="NormalWeb"/>
        <w:jc w:val="center"/>
        <w:rPr>
          <w:b/>
          <w:bCs/>
        </w:rPr>
      </w:pPr>
      <w:r w:rsidRPr="006B69FD">
        <w:rPr>
          <w:b/>
          <w:bCs/>
          <w:color w:val="000000" w:themeColor="text1"/>
        </w:rPr>
        <w:t>Study 3</w:t>
      </w:r>
    </w:p>
    <w:p w14:paraId="11A81C59" w14:textId="3577C84D" w:rsidR="008438B6" w:rsidRDefault="008438B6" w:rsidP="00D80DF6">
      <w:pPr>
        <w:widowControl w:val="0"/>
        <w:spacing w:line="480" w:lineRule="auto"/>
        <w:rPr>
          <w:b/>
          <w:bCs/>
        </w:rPr>
      </w:pPr>
      <w:r>
        <w:rPr>
          <w:b/>
          <w:bCs/>
        </w:rPr>
        <w:t>Method</w:t>
      </w:r>
    </w:p>
    <w:p w14:paraId="4F4BF2B6" w14:textId="1DCEC0CE" w:rsidR="0056486F" w:rsidRPr="00377A6F" w:rsidRDefault="0056486F" w:rsidP="00FB4818">
      <w:pPr>
        <w:widowControl w:val="0"/>
        <w:spacing w:line="480" w:lineRule="auto"/>
        <w:ind w:firstLine="720"/>
      </w:pPr>
      <w:r>
        <w:t>Study 3 was similar to Study 2</w:t>
      </w:r>
      <w:r w:rsidR="008A0BF0">
        <w:t xml:space="preserve"> </w:t>
      </w:r>
      <w:r>
        <w:t>but addressed the impact of estimation wording (vs. optimism/pessimism wording).</w:t>
      </w:r>
      <w:r>
        <w:rPr>
          <w:rStyle w:val="FootnoteReference"/>
        </w:rPr>
        <w:footnoteReference w:id="1"/>
      </w:r>
      <w:r>
        <w:t xml:space="preserve"> We again had two wording conditions</w:t>
      </w:r>
      <w:r w:rsidRPr="00693747">
        <w:t xml:space="preserve"> </w:t>
      </w:r>
      <w:r>
        <w:t>for which there was no best/ideal confound and for which there was a feeling-vs-thinking distinction. Unlike in Study 2, the condition that asked about thinking</w:t>
      </w:r>
      <w:r w:rsidR="00B900AE">
        <w:t xml:space="preserve"> was the same as the estimation</w:t>
      </w:r>
      <w:r>
        <w:t xml:space="preserve"> wording</w:t>
      </w:r>
      <w:r w:rsidR="00B900AE">
        <w:t xml:space="preserve"> from Study 1</w:t>
      </w:r>
      <w:r>
        <w:t xml:space="preserve"> and </w:t>
      </w:r>
      <w:r w:rsidR="00B900AE">
        <w:lastRenderedPageBreak/>
        <w:t xml:space="preserve">included </w:t>
      </w:r>
      <w:r>
        <w:t>response options</w:t>
      </w:r>
      <w:r w:rsidR="008B34F7">
        <w:t xml:space="preserve"> that </w:t>
      </w:r>
      <w:r w:rsidR="00B900AE">
        <w:t xml:space="preserve">again </w:t>
      </w:r>
      <w:r w:rsidR="008B34F7">
        <w:t xml:space="preserve">referred to estimations (of likelihood) </w:t>
      </w:r>
      <w:r>
        <w:t>rather than</w:t>
      </w:r>
      <w:r w:rsidR="008B34F7">
        <w:t xml:space="preserve"> to </w:t>
      </w:r>
      <w:r>
        <w:t xml:space="preserve">optimism/pessimism. If this change is crucial, then we should see a significant effect of the wording manipulation. </w:t>
      </w:r>
    </w:p>
    <w:p w14:paraId="30A3A0B9" w14:textId="77777777" w:rsidR="008438B6" w:rsidRDefault="008438B6" w:rsidP="002936DE">
      <w:pPr>
        <w:spacing w:line="480" w:lineRule="auto"/>
        <w:rPr>
          <w:b/>
          <w:bCs/>
        </w:rPr>
      </w:pPr>
      <w:r w:rsidRPr="0048255D">
        <w:rPr>
          <w:b/>
          <w:bCs/>
          <w:i/>
          <w:iCs/>
        </w:rPr>
        <w:t xml:space="preserve">Design, </w:t>
      </w:r>
      <w:r>
        <w:rPr>
          <w:b/>
          <w:bCs/>
          <w:i/>
          <w:iCs/>
        </w:rPr>
        <w:t>P</w:t>
      </w:r>
      <w:r w:rsidRPr="0048255D">
        <w:rPr>
          <w:b/>
          <w:bCs/>
          <w:i/>
          <w:iCs/>
        </w:rPr>
        <w:t xml:space="preserve">articipants, and </w:t>
      </w:r>
      <w:r>
        <w:rPr>
          <w:b/>
          <w:bCs/>
          <w:i/>
          <w:iCs/>
        </w:rPr>
        <w:t>S</w:t>
      </w:r>
      <w:r w:rsidRPr="0048255D">
        <w:rPr>
          <w:b/>
          <w:bCs/>
          <w:i/>
          <w:iCs/>
        </w:rPr>
        <w:t xml:space="preserve">tatistical </w:t>
      </w:r>
      <w:r>
        <w:rPr>
          <w:b/>
          <w:bCs/>
          <w:i/>
          <w:iCs/>
        </w:rPr>
        <w:t>P</w:t>
      </w:r>
      <w:r w:rsidRPr="0048255D">
        <w:rPr>
          <w:b/>
          <w:bCs/>
          <w:i/>
          <w:iCs/>
        </w:rPr>
        <w:t>owe</w:t>
      </w:r>
      <w:r>
        <w:rPr>
          <w:b/>
          <w:bCs/>
          <w:i/>
          <w:iCs/>
        </w:rPr>
        <w:t>r</w:t>
      </w:r>
      <w:r>
        <w:rPr>
          <w:b/>
          <w:bCs/>
        </w:rPr>
        <w:t xml:space="preserve"> </w:t>
      </w:r>
    </w:p>
    <w:p w14:paraId="1059A9E8" w14:textId="6FD3044E" w:rsidR="008438B6" w:rsidRPr="000436F6" w:rsidRDefault="008438B6" w:rsidP="00C272ED">
      <w:pPr>
        <w:spacing w:line="480" w:lineRule="auto"/>
        <w:ind w:firstLine="720"/>
      </w:pPr>
      <w:r>
        <w:t xml:space="preserve">Study </w:t>
      </w:r>
      <w:r w:rsidR="00CE3142">
        <w:t>3</w:t>
      </w:r>
      <w:r>
        <w:t xml:space="preserve"> had a 2(Wording: </w:t>
      </w:r>
      <w:r w:rsidR="00B900AE">
        <w:t>estimation</w:t>
      </w:r>
      <w:r>
        <w:t>/feeling) x 3(Version)</w:t>
      </w:r>
      <w:r w:rsidR="00C80ED4">
        <w:t xml:space="preserve"> x 2(Order)</w:t>
      </w:r>
      <w:r>
        <w:t xml:space="preserve"> </w:t>
      </w:r>
      <w:r w:rsidR="00B5341A">
        <w:t xml:space="preserve">mixed design, with order as the only </w:t>
      </w:r>
      <w:r w:rsidR="00B5341A" w:rsidRPr="00F549A7">
        <w:rPr>
          <w:color w:val="000000" w:themeColor="text1"/>
        </w:rPr>
        <w:t xml:space="preserve">between-subject variable (in addition to the same counterbalancing was in Studies </w:t>
      </w:r>
      <w:r w:rsidR="00B5341A" w:rsidRPr="00C272ED">
        <w:rPr>
          <w:color w:val="000000" w:themeColor="text1"/>
        </w:rPr>
        <w:t xml:space="preserve">1 and 2, which </w:t>
      </w:r>
      <w:r w:rsidR="005562CF" w:rsidRPr="00C272ED">
        <w:rPr>
          <w:color w:val="000000" w:themeColor="text1"/>
        </w:rPr>
        <w:t xml:space="preserve">will not </w:t>
      </w:r>
      <w:r w:rsidR="00B5341A" w:rsidRPr="00C272ED">
        <w:rPr>
          <w:color w:val="000000" w:themeColor="text1"/>
        </w:rPr>
        <w:t>be discussed further).</w:t>
      </w:r>
      <w:r w:rsidR="00C80ED4" w:rsidRPr="00C272ED">
        <w:rPr>
          <w:color w:val="000000" w:themeColor="text1"/>
        </w:rPr>
        <w:t xml:space="preserve"> </w:t>
      </w:r>
      <w:r w:rsidRPr="00C272ED">
        <w:rPr>
          <w:color w:val="000000" w:themeColor="text1"/>
        </w:rPr>
        <w:t xml:space="preserve">We preregistered a sample size of 180 participants. </w:t>
      </w:r>
      <w:r w:rsidR="00284799" w:rsidRPr="00C272ED">
        <w:rPr>
          <w:color w:val="000000" w:themeColor="text1"/>
        </w:rPr>
        <w:t>The preregistration can be found at</w:t>
      </w:r>
      <w:r w:rsidR="005C0D0F">
        <w:t xml:space="preserve"> </w:t>
      </w:r>
      <w:r w:rsidR="005C0D0F" w:rsidRPr="005C0D0F">
        <w:t>osf.io/zq8xj</w:t>
      </w:r>
      <w:r w:rsidR="00C272ED" w:rsidRPr="00C272ED">
        <w:rPr>
          <w:color w:val="000000" w:themeColor="text1"/>
        </w:rPr>
        <w:t xml:space="preserve">. </w:t>
      </w:r>
      <w:r w:rsidRPr="00F549A7">
        <w:rPr>
          <w:color w:val="000000" w:themeColor="text1"/>
        </w:rPr>
        <w:t xml:space="preserve">After </w:t>
      </w:r>
      <w:r w:rsidRPr="00003983">
        <w:t>all posted sessions were completed, the final sample size was 20</w:t>
      </w:r>
      <w:r w:rsidR="002C2C9C" w:rsidRPr="00F22194">
        <w:t>8</w:t>
      </w:r>
      <w:r w:rsidRPr="00F22194">
        <w:t xml:space="preserve"> University of </w:t>
      </w:r>
      <w:r w:rsidR="00FC2422">
        <w:t>Iowa</w:t>
      </w:r>
      <w:r>
        <w:t xml:space="preserve"> undergraduates (144 women, 6</w:t>
      </w:r>
      <w:r w:rsidR="002C2C9C">
        <w:t xml:space="preserve">4 </w:t>
      </w:r>
      <w:r>
        <w:t xml:space="preserve">men, </w:t>
      </w:r>
      <w:r w:rsidRPr="0048255D">
        <w:rPr>
          <w:i/>
          <w:iCs/>
        </w:rPr>
        <w:t>M</w:t>
      </w:r>
      <w:r w:rsidRPr="0048255D">
        <w:rPr>
          <w:i/>
          <w:iCs/>
          <w:vertAlign w:val="subscript"/>
        </w:rPr>
        <w:t>age</w:t>
      </w:r>
      <w:r>
        <w:t xml:space="preserve"> = 18.</w:t>
      </w:r>
      <w:r w:rsidR="002C2C9C">
        <w:t>70</w:t>
      </w:r>
      <w:r>
        <w:t xml:space="preserve">, </w:t>
      </w:r>
      <w:r w:rsidRPr="0048255D">
        <w:rPr>
          <w:i/>
          <w:iCs/>
        </w:rPr>
        <w:t>SD</w:t>
      </w:r>
      <w:r>
        <w:t xml:space="preserve"> = 1.</w:t>
      </w:r>
      <w:r w:rsidR="002C2C9C">
        <w:t>06</w:t>
      </w:r>
      <w:r>
        <w:t>).</w:t>
      </w:r>
      <w:r w:rsidR="0037693B">
        <w:t xml:space="preserve"> </w:t>
      </w:r>
      <w:r w:rsidR="0037693B">
        <w:rPr>
          <w:color w:val="000000" w:themeColor="text1"/>
        </w:rPr>
        <w:t xml:space="preserve">This sample size provided </w:t>
      </w:r>
      <w:r w:rsidR="0037693B">
        <w:t>99.</w:t>
      </w:r>
      <w:r w:rsidR="00BC5CBB">
        <w:t>9</w:t>
      </w:r>
      <w:r w:rsidR="0037693B">
        <w:t>% power to detect a medium-small difference (</w:t>
      </w:r>
      <w:r w:rsidR="0037693B" w:rsidRPr="00D80DF6">
        <w:rPr>
          <w:i/>
          <w:iCs/>
        </w:rPr>
        <w:t>d</w:t>
      </w:r>
      <w:r w:rsidR="00B900AE">
        <w:t xml:space="preserve"> </w:t>
      </w:r>
      <w:r w:rsidR="0037693B">
        <w:t>=</w:t>
      </w:r>
      <w:r w:rsidR="00B900AE">
        <w:t xml:space="preserve"> </w:t>
      </w:r>
      <w:r w:rsidR="0037693B">
        <w:t>0.35) in prescriptions between the two wording conditions.</w:t>
      </w:r>
    </w:p>
    <w:p w14:paraId="5AD7F4CF" w14:textId="77777777" w:rsidR="008438B6" w:rsidRDefault="008438B6" w:rsidP="002936DE">
      <w:pPr>
        <w:widowControl w:val="0"/>
        <w:spacing w:line="480" w:lineRule="auto"/>
        <w:rPr>
          <w:b/>
          <w:bCs/>
          <w:i/>
          <w:iCs/>
        </w:rPr>
      </w:pPr>
      <w:r>
        <w:rPr>
          <w:b/>
          <w:bCs/>
          <w:i/>
          <w:iCs/>
        </w:rPr>
        <w:t>Prescription Measures and Counterbalancing of Measures</w:t>
      </w:r>
    </w:p>
    <w:p w14:paraId="29D786A3" w14:textId="2664003B" w:rsidR="008438B6" w:rsidRDefault="008438B6" w:rsidP="002936DE">
      <w:pPr>
        <w:widowControl w:val="0"/>
        <w:spacing w:line="480" w:lineRule="auto"/>
      </w:pPr>
      <w:r>
        <w:tab/>
      </w:r>
      <w:r w:rsidR="00CE3142">
        <w:t>In the same fashion as Study 2, p</w:t>
      </w:r>
      <w:r>
        <w:t xml:space="preserve">articipants answered both prescription questions, presented on the same page, for each of the three scenarios. </w:t>
      </w:r>
      <w:r w:rsidR="00166700">
        <w:t xml:space="preserve">Half </w:t>
      </w:r>
      <w:r w:rsidR="002C2C9C">
        <w:t xml:space="preserve">of </w:t>
      </w:r>
      <w:r w:rsidR="00166700">
        <w:t xml:space="preserve">the participants saw the Feelings prescription first followed by the Estimation prescription, and the other half saw the reverse order. Similar to Study 2, the introductory wording of the second measure was altered slightly to reduce participant confusion. For example, for the </w:t>
      </w:r>
      <w:r w:rsidR="00166700" w:rsidRPr="006B69FD">
        <w:rPr>
          <w:u w:val="single"/>
        </w:rPr>
        <w:t>first</w:t>
      </w:r>
      <w:r w:rsidR="00166700">
        <w:t xml:space="preserve"> question about the Lisa scenario, the wording of the </w:t>
      </w:r>
      <w:r w:rsidR="00B772D9">
        <w:t xml:space="preserve">Feeling/Estimation prescription was as follows: </w:t>
      </w:r>
    </w:p>
    <w:p w14:paraId="4C54E219" w14:textId="4628E5E6" w:rsidR="008438B6" w:rsidRDefault="008438B6" w:rsidP="002936DE">
      <w:pPr>
        <w:spacing w:line="480" w:lineRule="auto"/>
        <w:ind w:left="720"/>
        <w:rPr>
          <w:i/>
          <w:iCs/>
        </w:rPr>
      </w:pPr>
      <w:r w:rsidRPr="00F63F3A">
        <w:rPr>
          <w:i/>
          <w:iCs/>
        </w:rPr>
        <w:t xml:space="preserve">Under the circumstances described </w:t>
      </w:r>
      <w:r>
        <w:rPr>
          <w:i/>
          <w:iCs/>
        </w:rPr>
        <w:t xml:space="preserve">in this story, how should Lisa </w:t>
      </w:r>
      <w:r w:rsidR="00B772D9">
        <w:rPr>
          <w:i/>
          <w:iCs/>
        </w:rPr>
        <w:t>[</w:t>
      </w:r>
      <w:r>
        <w:rPr>
          <w:i/>
          <w:iCs/>
        </w:rPr>
        <w:t>feel about</w:t>
      </w:r>
      <w:r w:rsidR="00B772D9">
        <w:rPr>
          <w:i/>
          <w:iCs/>
        </w:rPr>
        <w:t xml:space="preserve">/estimate] </w:t>
      </w:r>
      <w:r>
        <w:rPr>
          <w:i/>
          <w:iCs/>
        </w:rPr>
        <w:t xml:space="preserve">the likelihood of winning the award?  In other words, what way of </w:t>
      </w:r>
      <w:r w:rsidR="00B772D9">
        <w:rPr>
          <w:i/>
          <w:iCs/>
        </w:rPr>
        <w:t>[</w:t>
      </w:r>
      <w:r>
        <w:rPr>
          <w:i/>
          <w:iCs/>
        </w:rPr>
        <w:t>feeling</w:t>
      </w:r>
      <w:r w:rsidR="00B772D9">
        <w:rPr>
          <w:i/>
          <w:iCs/>
        </w:rPr>
        <w:t>/thinking]</w:t>
      </w:r>
      <w:r>
        <w:rPr>
          <w:i/>
          <w:iCs/>
        </w:rPr>
        <w:t xml:space="preserve"> would be advisable? In light of the situation that she is in, Lisa should </w:t>
      </w:r>
      <w:r w:rsidR="00B772D9">
        <w:rPr>
          <w:i/>
          <w:iCs/>
        </w:rPr>
        <w:t>[</w:t>
      </w:r>
      <w:r>
        <w:rPr>
          <w:i/>
          <w:iCs/>
        </w:rPr>
        <w:t>feel</w:t>
      </w:r>
      <w:r w:rsidR="00B772D9">
        <w:rPr>
          <w:i/>
          <w:iCs/>
        </w:rPr>
        <w:t>]</w:t>
      </w:r>
      <w:r>
        <w:rPr>
          <w:i/>
          <w:iCs/>
        </w:rPr>
        <w:t xml:space="preserve"> _____ </w:t>
      </w:r>
      <w:r w:rsidR="00B772D9">
        <w:rPr>
          <w:i/>
          <w:iCs/>
        </w:rPr>
        <w:t>[</w:t>
      </w:r>
      <w:r>
        <w:rPr>
          <w:i/>
          <w:iCs/>
        </w:rPr>
        <w:t>about</w:t>
      </w:r>
      <w:r w:rsidR="00B772D9">
        <w:rPr>
          <w:i/>
          <w:iCs/>
        </w:rPr>
        <w:t>]</w:t>
      </w:r>
      <w:r>
        <w:rPr>
          <w:i/>
          <w:iCs/>
        </w:rPr>
        <w:t xml:space="preserve"> her likelihood of winning the award.</w:t>
      </w:r>
    </w:p>
    <w:p w14:paraId="1DB1EAB5" w14:textId="1F2A9013" w:rsidR="00B772D9" w:rsidRDefault="00B772D9" w:rsidP="002936DE">
      <w:pPr>
        <w:spacing w:line="480" w:lineRule="auto"/>
        <w:rPr>
          <w:bCs/>
        </w:rPr>
      </w:pPr>
      <w:r>
        <w:rPr>
          <w:bCs/>
        </w:rPr>
        <w:t xml:space="preserve">For the </w:t>
      </w:r>
      <w:r w:rsidRPr="006B69FD">
        <w:rPr>
          <w:bCs/>
          <w:u w:val="single"/>
        </w:rPr>
        <w:t>second</w:t>
      </w:r>
      <w:r>
        <w:rPr>
          <w:bCs/>
        </w:rPr>
        <w:t xml:space="preserve"> question, the wording was as follows: </w:t>
      </w:r>
    </w:p>
    <w:p w14:paraId="39AA38EE" w14:textId="49A6A070" w:rsidR="00CE3142" w:rsidRDefault="00CE3142" w:rsidP="002936DE">
      <w:pPr>
        <w:spacing w:line="480" w:lineRule="auto"/>
        <w:ind w:left="720"/>
        <w:rPr>
          <w:i/>
          <w:iCs/>
        </w:rPr>
      </w:pPr>
      <w:r>
        <w:rPr>
          <w:i/>
          <w:iCs/>
        </w:rPr>
        <w:lastRenderedPageBreak/>
        <w:t xml:space="preserve">You’ve told us how you think Lisa should </w:t>
      </w:r>
      <w:r w:rsidR="00B772D9">
        <w:rPr>
          <w:i/>
          <w:iCs/>
        </w:rPr>
        <w:t>[</w:t>
      </w:r>
      <w:r>
        <w:rPr>
          <w:i/>
          <w:iCs/>
        </w:rPr>
        <w:t>feel about</w:t>
      </w:r>
      <w:r w:rsidR="00B772D9">
        <w:rPr>
          <w:i/>
          <w:iCs/>
        </w:rPr>
        <w:t>/estimate]</w:t>
      </w:r>
      <w:r>
        <w:rPr>
          <w:i/>
          <w:iCs/>
        </w:rPr>
        <w:t xml:space="preserve"> the likelihood of winning the award. Now we’d like to know how you think Lisa should </w:t>
      </w:r>
      <w:r w:rsidR="00B772D9">
        <w:rPr>
          <w:i/>
          <w:iCs/>
        </w:rPr>
        <w:t>[</w:t>
      </w:r>
      <w:r w:rsidR="00AF2F29">
        <w:rPr>
          <w:i/>
          <w:iCs/>
        </w:rPr>
        <w:t>estimate</w:t>
      </w:r>
      <w:r w:rsidR="00B772D9">
        <w:rPr>
          <w:i/>
          <w:iCs/>
        </w:rPr>
        <w:t>/</w:t>
      </w:r>
      <w:r w:rsidR="00AF2F29">
        <w:rPr>
          <w:i/>
          <w:iCs/>
        </w:rPr>
        <w:t>feel about</w:t>
      </w:r>
      <w:r w:rsidR="00B772D9">
        <w:rPr>
          <w:i/>
          <w:iCs/>
        </w:rPr>
        <w:t>]</w:t>
      </w:r>
      <w:r>
        <w:rPr>
          <w:i/>
          <w:iCs/>
        </w:rPr>
        <w:t xml:space="preserve"> the likelihood of winning the award. Your answer to this question might or might not be similar to your other answer. In light of the situation that she is in, Lisa should </w:t>
      </w:r>
      <w:r w:rsidR="00582ED1">
        <w:rPr>
          <w:i/>
          <w:iCs/>
        </w:rPr>
        <w:t xml:space="preserve">[feel] </w:t>
      </w:r>
      <w:r>
        <w:rPr>
          <w:i/>
          <w:iCs/>
        </w:rPr>
        <w:t xml:space="preserve">_____ </w:t>
      </w:r>
      <w:r w:rsidR="00582ED1">
        <w:rPr>
          <w:i/>
          <w:iCs/>
        </w:rPr>
        <w:t xml:space="preserve">[about] </w:t>
      </w:r>
      <w:r>
        <w:rPr>
          <w:i/>
          <w:iCs/>
        </w:rPr>
        <w:t>her likelihood of winning the award.</w:t>
      </w:r>
    </w:p>
    <w:p w14:paraId="0EA762FE" w14:textId="3B7524BF" w:rsidR="00292441" w:rsidRPr="00377A6F" w:rsidRDefault="00B772D9" w:rsidP="002936DE">
      <w:pPr>
        <w:spacing w:line="480" w:lineRule="auto"/>
        <w:rPr>
          <w:bCs/>
        </w:rPr>
      </w:pPr>
      <w:r>
        <w:rPr>
          <w:bCs/>
        </w:rPr>
        <w:t>The response options for the Feelings prescriptions</w:t>
      </w:r>
      <w:r w:rsidR="00582ED1">
        <w:rPr>
          <w:bCs/>
        </w:rPr>
        <w:t xml:space="preserve"> involved pessimism</w:t>
      </w:r>
      <w:r w:rsidR="00B34FF3">
        <w:rPr>
          <w:bCs/>
        </w:rPr>
        <w:t>/optimism</w:t>
      </w:r>
      <w:r w:rsidR="00582ED1">
        <w:rPr>
          <w:bCs/>
        </w:rPr>
        <w:t xml:space="preserve"> terms. Specifically, they </w:t>
      </w:r>
      <w:r>
        <w:rPr>
          <w:bCs/>
        </w:rPr>
        <w:t>were always</w:t>
      </w:r>
      <w:r w:rsidRPr="00B772D9">
        <w:rPr>
          <w:bCs/>
          <w:i/>
          <w:iCs/>
        </w:rPr>
        <w:t xml:space="preserve"> </w:t>
      </w:r>
      <w:r w:rsidRPr="00C038EC">
        <w:rPr>
          <w:bCs/>
          <w:i/>
          <w:iCs/>
        </w:rPr>
        <w:t>Extremely pessimistic,</w:t>
      </w:r>
      <w:r>
        <w:rPr>
          <w:bCs/>
        </w:rPr>
        <w:t xml:space="preserve"> </w:t>
      </w:r>
      <w:r w:rsidRPr="00C038EC">
        <w:rPr>
          <w:bCs/>
          <w:i/>
          <w:iCs/>
        </w:rPr>
        <w:t>Moderately pessimistic</w:t>
      </w:r>
      <w:r>
        <w:rPr>
          <w:bCs/>
        </w:rPr>
        <w:t xml:space="preserve">, </w:t>
      </w:r>
      <w:r>
        <w:rPr>
          <w:bCs/>
          <w:i/>
          <w:iCs/>
        </w:rPr>
        <w:t>Realistic</w:t>
      </w:r>
      <w:r w:rsidRPr="00C038EC">
        <w:rPr>
          <w:bCs/>
        </w:rPr>
        <w:t xml:space="preserve">, </w:t>
      </w:r>
      <w:r w:rsidRPr="00C038EC">
        <w:rPr>
          <w:bCs/>
          <w:i/>
          <w:iCs/>
        </w:rPr>
        <w:t>Moderately optimistic</w:t>
      </w:r>
      <w:r>
        <w:rPr>
          <w:bCs/>
        </w:rPr>
        <w:t xml:space="preserve">, and </w:t>
      </w:r>
      <w:r w:rsidRPr="00C038EC">
        <w:rPr>
          <w:bCs/>
          <w:i/>
          <w:iCs/>
        </w:rPr>
        <w:t>Extremely optimistic</w:t>
      </w:r>
      <w:r w:rsidR="00582ED1">
        <w:rPr>
          <w:bCs/>
          <w:i/>
          <w:iCs/>
        </w:rPr>
        <w:t xml:space="preserve">.  The </w:t>
      </w:r>
      <w:r>
        <w:rPr>
          <w:bCs/>
        </w:rPr>
        <w:t xml:space="preserve">response options for the Estimation prescription were always </w:t>
      </w:r>
      <w:r w:rsidR="000006AD" w:rsidRPr="001C79D9">
        <w:rPr>
          <w:bCs/>
          <w:i/>
          <w:iCs/>
        </w:rPr>
        <w:t>Greatly underestimate</w:t>
      </w:r>
      <w:r w:rsidR="000006AD">
        <w:rPr>
          <w:bCs/>
        </w:rPr>
        <w:t xml:space="preserve">, </w:t>
      </w:r>
      <w:proofErr w:type="gramStart"/>
      <w:r w:rsidR="000006AD" w:rsidRPr="001C79D9">
        <w:rPr>
          <w:bCs/>
          <w:i/>
          <w:iCs/>
        </w:rPr>
        <w:t>Slightly</w:t>
      </w:r>
      <w:proofErr w:type="gramEnd"/>
      <w:r w:rsidR="000006AD" w:rsidRPr="001C79D9">
        <w:rPr>
          <w:bCs/>
          <w:i/>
          <w:iCs/>
        </w:rPr>
        <w:t xml:space="preserve"> underestimate</w:t>
      </w:r>
      <w:r w:rsidR="000006AD">
        <w:rPr>
          <w:bCs/>
        </w:rPr>
        <w:t xml:space="preserve">, </w:t>
      </w:r>
      <w:r w:rsidR="000006AD" w:rsidRPr="001C79D9">
        <w:rPr>
          <w:bCs/>
          <w:i/>
          <w:iCs/>
        </w:rPr>
        <w:t>Accurately estimate</w:t>
      </w:r>
      <w:r w:rsidR="000006AD">
        <w:rPr>
          <w:bCs/>
        </w:rPr>
        <w:t xml:space="preserve">, </w:t>
      </w:r>
      <w:r w:rsidR="000006AD" w:rsidRPr="001C79D9">
        <w:rPr>
          <w:bCs/>
          <w:i/>
          <w:iCs/>
        </w:rPr>
        <w:t>Slightly overestimate</w:t>
      </w:r>
      <w:r w:rsidR="000006AD">
        <w:rPr>
          <w:bCs/>
        </w:rPr>
        <w:t xml:space="preserve">, and </w:t>
      </w:r>
      <w:r w:rsidR="000006AD" w:rsidRPr="001C79D9">
        <w:rPr>
          <w:bCs/>
          <w:i/>
          <w:iCs/>
        </w:rPr>
        <w:t>Greatly overestimate</w:t>
      </w:r>
      <w:r w:rsidR="000006AD">
        <w:rPr>
          <w:bCs/>
        </w:rPr>
        <w:t xml:space="preserve">. </w:t>
      </w:r>
    </w:p>
    <w:p w14:paraId="0C1428C6" w14:textId="12FCFDF5" w:rsidR="008438B6" w:rsidRDefault="008438B6" w:rsidP="002936DE">
      <w:pPr>
        <w:spacing w:line="480" w:lineRule="auto"/>
        <w:rPr>
          <w:b/>
          <w:bCs/>
        </w:rPr>
      </w:pPr>
      <w:r w:rsidRPr="00A414A2">
        <w:rPr>
          <w:b/>
          <w:bCs/>
        </w:rPr>
        <w:t>Results</w:t>
      </w:r>
    </w:p>
    <w:p w14:paraId="4635AA53" w14:textId="609EE30B" w:rsidR="002940BC" w:rsidRDefault="00292441" w:rsidP="002936DE">
      <w:pPr>
        <w:spacing w:line="480" w:lineRule="auto"/>
        <w:ind w:firstLine="720"/>
      </w:pPr>
      <w:r>
        <w:t>The</w:t>
      </w:r>
      <w:r w:rsidR="008438B6">
        <w:t xml:space="preserve"> </w:t>
      </w:r>
      <w:r>
        <w:t xml:space="preserve">primary </w:t>
      </w:r>
      <w:r w:rsidR="008438B6">
        <w:t>analysis</w:t>
      </w:r>
      <w:r>
        <w:t xml:space="preserve"> </w:t>
      </w:r>
      <w:r w:rsidR="00EE5312">
        <w:t>was</w:t>
      </w:r>
      <w:r w:rsidR="008438B6">
        <w:t xml:space="preserve"> a 2(</w:t>
      </w:r>
      <w:r w:rsidR="00EE5312">
        <w:t>W</w:t>
      </w:r>
      <w:r w:rsidR="008438B6">
        <w:t xml:space="preserve">ording: </w:t>
      </w:r>
      <w:r w:rsidR="00D93769">
        <w:t>Estimation</w:t>
      </w:r>
      <w:r w:rsidR="008438B6">
        <w:t>/Feeling) x 3(Version) x 2(</w:t>
      </w:r>
      <w:r w:rsidR="00EE5312">
        <w:t>O</w:t>
      </w:r>
      <w:r w:rsidR="008438B6">
        <w:t>rder) repeated measures ANOVA. There were no significant effects involving</w:t>
      </w:r>
      <w:r w:rsidR="00184A75">
        <w:t xml:space="preserve"> order or</w:t>
      </w:r>
      <w:r w:rsidR="008438B6">
        <w:t xml:space="preserve"> </w:t>
      </w:r>
      <w:r w:rsidR="00184A75">
        <w:t xml:space="preserve">scenario </w:t>
      </w:r>
      <w:r w:rsidR="008438B6">
        <w:t xml:space="preserve">version (all </w:t>
      </w:r>
      <w:proofErr w:type="spellStart"/>
      <w:r w:rsidR="008438B6" w:rsidRPr="008B1E68">
        <w:rPr>
          <w:i/>
          <w:iCs/>
        </w:rPr>
        <w:t>p</w:t>
      </w:r>
      <w:r w:rsidR="008438B6">
        <w:t>s</w:t>
      </w:r>
      <w:proofErr w:type="spellEnd"/>
      <w:r w:rsidR="008438B6">
        <w:t xml:space="preserve"> &gt; .10</w:t>
      </w:r>
      <w:r w:rsidR="00D15662">
        <w:t>)</w:t>
      </w:r>
      <w:r w:rsidR="008438B6">
        <w:t xml:space="preserve">, showing that neither the order of the prescriptions or the different scenario versions had any influence on prescriptions. </w:t>
      </w:r>
      <w:r w:rsidR="00F10E16">
        <w:t xml:space="preserve">The only significant effect was a main effect of prescription wording (all other </w:t>
      </w:r>
      <w:proofErr w:type="spellStart"/>
      <w:r w:rsidR="00F10E16" w:rsidRPr="006B69FD">
        <w:rPr>
          <w:i/>
          <w:iCs/>
        </w:rPr>
        <w:t>p</w:t>
      </w:r>
      <w:r w:rsidR="00F10E16">
        <w:t>s</w:t>
      </w:r>
      <w:proofErr w:type="spellEnd"/>
      <w:r w:rsidR="00F10E16">
        <w:t xml:space="preserve"> &gt; .1</w:t>
      </w:r>
      <w:r w:rsidR="00014C93">
        <w:t>7</w:t>
      </w:r>
      <w:r w:rsidR="00F10E16">
        <w:t>).</w:t>
      </w:r>
    </w:p>
    <w:p w14:paraId="64506262" w14:textId="562D9F8A" w:rsidR="00FB4818" w:rsidRDefault="00F10E16" w:rsidP="00ED191D">
      <w:pPr>
        <w:spacing w:line="480" w:lineRule="auto"/>
        <w:ind w:firstLine="720"/>
      </w:pPr>
      <w:r>
        <w:t xml:space="preserve"> </w:t>
      </w:r>
      <w:r w:rsidR="00292441">
        <w:t xml:space="preserve">Akin to the </w:t>
      </w:r>
      <w:r w:rsidR="00292441" w:rsidRPr="00F10E16">
        <w:t>results of Study 1,</w:t>
      </w:r>
      <w:r w:rsidR="008438B6" w:rsidRPr="00F10E16">
        <w:t xml:space="preserve"> </w:t>
      </w:r>
      <w:r w:rsidR="00DC2D0F" w:rsidRPr="00F10E16">
        <w:t xml:space="preserve">participants answered the prescription questions differently as a function of the wording, </w:t>
      </w:r>
      <w:proofErr w:type="gramStart"/>
      <w:r w:rsidR="008438B6" w:rsidRPr="00F10E16">
        <w:rPr>
          <w:i/>
          <w:iCs/>
        </w:rPr>
        <w:t>F</w:t>
      </w:r>
      <w:r w:rsidR="008438B6" w:rsidRPr="00F10E16">
        <w:t>(</w:t>
      </w:r>
      <w:proofErr w:type="gramEnd"/>
      <w:r w:rsidR="008438B6" w:rsidRPr="00F10E16">
        <w:t xml:space="preserve">1, </w:t>
      </w:r>
      <w:r w:rsidR="00014C93" w:rsidRPr="00F10E16">
        <w:t>20</w:t>
      </w:r>
      <w:r w:rsidR="00014C93">
        <w:t>4</w:t>
      </w:r>
      <w:r w:rsidR="008438B6" w:rsidRPr="00F10E16">
        <w:t xml:space="preserve">) = </w:t>
      </w:r>
      <w:r w:rsidR="00014C93">
        <w:t>205.45</w:t>
      </w:r>
      <w:r w:rsidR="008438B6" w:rsidRPr="00F10E16">
        <w:t xml:space="preserve">, </w:t>
      </w:r>
      <w:r w:rsidR="008438B6" w:rsidRPr="00F10E16">
        <w:rPr>
          <w:i/>
          <w:iCs/>
        </w:rPr>
        <w:t xml:space="preserve">p </w:t>
      </w:r>
      <w:r w:rsidR="008438B6" w:rsidRPr="00F10E16">
        <w:t xml:space="preserve">&lt; .001, </w:t>
      </w:r>
      <w:r w:rsidR="008438B6" w:rsidRPr="00F10E16">
        <w:sym w:font="Symbol" w:char="F068"/>
      </w:r>
      <w:r w:rsidR="008438B6" w:rsidRPr="00F10E16">
        <w:rPr>
          <w:vertAlign w:val="subscript"/>
        </w:rPr>
        <w:t>p</w:t>
      </w:r>
      <w:r w:rsidR="008438B6" w:rsidRPr="00F10E16">
        <w:rPr>
          <w:vertAlign w:val="superscript"/>
        </w:rPr>
        <w:t>2</w:t>
      </w:r>
      <w:r w:rsidR="008438B6" w:rsidRPr="00F10E16">
        <w:t xml:space="preserve"> = .</w:t>
      </w:r>
      <w:r w:rsidR="00014C93">
        <w:t>502</w:t>
      </w:r>
      <w:r w:rsidR="00DC2D0F" w:rsidRPr="00F10E16">
        <w:t>.</w:t>
      </w:r>
      <w:r w:rsidR="001F7E9F">
        <w:t xml:space="preserve"> See Figure 4 for the result pattern. </w:t>
      </w:r>
      <w:r w:rsidRPr="00F10E16">
        <w:t>With the Feeling prescription measure</w:t>
      </w:r>
      <w:r w:rsidR="009E1907">
        <w:t xml:space="preserve"> (involving pessimism/optimism responses options)</w:t>
      </w:r>
      <w:r w:rsidRPr="00F10E16">
        <w:t xml:space="preserve">, participants </w:t>
      </w:r>
      <w:r w:rsidR="008438B6" w:rsidRPr="00F10E16">
        <w:t xml:space="preserve">prescribed </w:t>
      </w:r>
      <w:r w:rsidR="008438B6" w:rsidRPr="006B69FD">
        <w:t>optimis</w:t>
      </w:r>
      <w:r w:rsidRPr="006B69FD">
        <w:t>m, which was significantly above the midpoint of “realistic” (</w:t>
      </w:r>
      <w:r w:rsidRPr="006B69FD">
        <w:rPr>
          <w:i/>
          <w:iCs/>
        </w:rPr>
        <w:t>M</w:t>
      </w:r>
      <w:r w:rsidRPr="006B69FD">
        <w:t xml:space="preserve"> = </w:t>
      </w:r>
      <w:r w:rsidR="008C6460">
        <w:t>0.34</w:t>
      </w:r>
      <w:r w:rsidRPr="006B69FD">
        <w:t xml:space="preserve">, </w:t>
      </w:r>
      <w:r w:rsidRPr="006B69FD">
        <w:rPr>
          <w:i/>
          <w:iCs/>
        </w:rPr>
        <w:t>SD</w:t>
      </w:r>
      <w:r w:rsidRPr="006B69FD">
        <w:t xml:space="preserve"> = 0.48)</w:t>
      </w:r>
      <w:r w:rsidRPr="00F10E16">
        <w:t xml:space="preserve">, </w:t>
      </w:r>
      <w:proofErr w:type="gramStart"/>
      <w:r w:rsidRPr="00F10E16">
        <w:rPr>
          <w:i/>
          <w:iCs/>
        </w:rPr>
        <w:t>t</w:t>
      </w:r>
      <w:r w:rsidRPr="00F10E16">
        <w:t>(</w:t>
      </w:r>
      <w:proofErr w:type="gramEnd"/>
      <w:r w:rsidRPr="00F10E16">
        <w:t>20</w:t>
      </w:r>
      <w:r w:rsidR="008C6460">
        <w:t>7</w:t>
      </w:r>
      <w:r w:rsidRPr="00F10E16">
        <w:t>) = 10.</w:t>
      </w:r>
      <w:r w:rsidR="008C6460">
        <w:t>22</w:t>
      </w:r>
      <w:r w:rsidRPr="00F10E16">
        <w:t xml:space="preserve">, </w:t>
      </w:r>
      <w:r w:rsidRPr="00F10E16">
        <w:rPr>
          <w:i/>
          <w:iCs/>
        </w:rPr>
        <w:t>p</w:t>
      </w:r>
      <w:r w:rsidRPr="00F10E16">
        <w:t xml:space="preserve"> &lt; .001, </w:t>
      </w:r>
      <w:r w:rsidRPr="006B69FD">
        <w:rPr>
          <w:i/>
          <w:iCs/>
        </w:rPr>
        <w:t>d</w:t>
      </w:r>
      <w:r w:rsidRPr="006B69FD">
        <w:t xml:space="preserve"> = </w:t>
      </w:r>
      <w:r w:rsidR="008C6460">
        <w:t>1.42</w:t>
      </w:r>
      <w:r w:rsidRPr="00F10E16">
        <w:t>, 95% CI [0.2</w:t>
      </w:r>
      <w:r w:rsidR="008C6460">
        <w:t>7</w:t>
      </w:r>
      <w:r w:rsidRPr="00F10E16">
        <w:t>, 0.41]. However, with the Estimation prescription measure, participants prescribed underestimating the likelihood of the uncertain outcomes,</w:t>
      </w:r>
      <w:r w:rsidR="008438B6" w:rsidRPr="006B69FD">
        <w:t xml:space="preserve"> </w:t>
      </w:r>
      <w:r w:rsidRPr="006B69FD">
        <w:t xml:space="preserve">which was also significantly below the midpoint of </w:t>
      </w:r>
      <w:r w:rsidRPr="006B69FD">
        <w:lastRenderedPageBreak/>
        <w:t xml:space="preserve">“accurately estimate” </w:t>
      </w:r>
      <w:r w:rsidR="008438B6" w:rsidRPr="006B69FD">
        <w:t>(</w:t>
      </w:r>
      <w:r w:rsidR="008438B6" w:rsidRPr="006B69FD">
        <w:rPr>
          <w:i/>
          <w:iCs/>
        </w:rPr>
        <w:t xml:space="preserve">M </w:t>
      </w:r>
      <w:r w:rsidR="008438B6" w:rsidRPr="006B69FD">
        <w:t xml:space="preserve">= </w:t>
      </w:r>
      <w:r w:rsidR="008C6460">
        <w:t>-0.24</w:t>
      </w:r>
      <w:r w:rsidR="008438B6" w:rsidRPr="00F10E16">
        <w:t xml:space="preserve">, </w:t>
      </w:r>
      <w:r w:rsidR="008438B6" w:rsidRPr="00F10E16">
        <w:rPr>
          <w:i/>
          <w:iCs/>
        </w:rPr>
        <w:t>SD</w:t>
      </w:r>
      <w:r w:rsidR="008438B6" w:rsidRPr="00F10E16">
        <w:t xml:space="preserve"> = 0.4</w:t>
      </w:r>
      <w:r w:rsidR="008C6460">
        <w:t>5</w:t>
      </w:r>
      <w:r w:rsidR="008438B6" w:rsidRPr="00F10E16">
        <w:t>)</w:t>
      </w:r>
      <w:r w:rsidRPr="00F10E16">
        <w:t xml:space="preserve">, </w:t>
      </w:r>
      <w:r w:rsidRPr="00F10E16">
        <w:rPr>
          <w:i/>
          <w:iCs/>
        </w:rPr>
        <w:t>t</w:t>
      </w:r>
      <w:r w:rsidRPr="00F10E16">
        <w:t>(</w:t>
      </w:r>
      <w:r w:rsidR="008C6460" w:rsidRPr="00F10E16">
        <w:t>20</w:t>
      </w:r>
      <w:r w:rsidR="008C6460">
        <w:t>7</w:t>
      </w:r>
      <w:r w:rsidRPr="00F10E16">
        <w:t>) = -7.</w:t>
      </w:r>
      <w:r w:rsidR="008C6460">
        <w:t>77</w:t>
      </w:r>
      <w:r w:rsidRPr="00F10E16">
        <w:t xml:space="preserve">, </w:t>
      </w:r>
      <w:r w:rsidRPr="00F10E16">
        <w:rPr>
          <w:i/>
          <w:iCs/>
        </w:rPr>
        <w:t>p</w:t>
      </w:r>
      <w:r w:rsidRPr="00F10E16">
        <w:t xml:space="preserve"> &lt; .001,</w:t>
      </w:r>
      <w:r w:rsidR="008C6460">
        <w:t xml:space="preserve"> </w:t>
      </w:r>
      <w:r w:rsidR="008C6460" w:rsidRPr="00931A48">
        <w:rPr>
          <w:i/>
          <w:iCs/>
        </w:rPr>
        <w:t>d</w:t>
      </w:r>
      <w:r w:rsidR="008C6460">
        <w:t xml:space="preserve"> = -1.08,</w:t>
      </w:r>
      <w:r w:rsidRPr="00F10E16">
        <w:t xml:space="preserve"> 95% CI [-0.3</w:t>
      </w:r>
      <w:r w:rsidR="008C6460">
        <w:t>1</w:t>
      </w:r>
      <w:r w:rsidRPr="00F10E16">
        <w:t>, -0.1</w:t>
      </w:r>
      <w:r w:rsidR="008C6460">
        <w:t>8</w:t>
      </w:r>
      <w:r w:rsidRPr="00F10E16">
        <w:t>].</w:t>
      </w:r>
      <w:r w:rsidR="00AF2F29">
        <w:rPr>
          <w:rStyle w:val="FootnoteReference"/>
        </w:rPr>
        <w:footnoteReference w:id="2"/>
      </w:r>
      <w:r w:rsidRPr="00F10E16">
        <w:t xml:space="preserve"> </w:t>
      </w:r>
      <w:r w:rsidR="00F60C66">
        <w:t xml:space="preserve">Given that </w:t>
      </w:r>
      <w:r w:rsidR="00C658D1">
        <w:t xml:space="preserve">the </w:t>
      </w:r>
      <w:r w:rsidR="002B3CA5">
        <w:t xml:space="preserve">previously discussed </w:t>
      </w:r>
      <w:r w:rsidR="00C658D1">
        <w:t>best/ideal confound was not relevant to Study 3</w:t>
      </w:r>
      <w:r w:rsidR="00F60C66">
        <w:t xml:space="preserve">, the similarity between the results of Study 1 and Study 3 suggest that the presence of the words optimism/pessimism in the response anchors </w:t>
      </w:r>
      <w:r w:rsidR="00156865">
        <w:t xml:space="preserve">is the key reason underlying the difference between </w:t>
      </w:r>
      <w:r w:rsidR="008A0BF0">
        <w:t>the results found in Armor et al. (2008) and the results presented here.</w:t>
      </w:r>
    </w:p>
    <w:p w14:paraId="47B21CFE" w14:textId="3F78FCFB" w:rsidR="001F7E9F" w:rsidRPr="00FB4818" w:rsidRDefault="00FB4818" w:rsidP="00FB4818">
      <w:pPr>
        <w:spacing w:line="480" w:lineRule="auto"/>
        <w:ind w:firstLine="720"/>
        <w:jc w:val="center"/>
      </w:pPr>
      <w:r>
        <w:rPr>
          <w:i/>
          <w:iCs/>
          <w:noProof/>
          <w:color w:val="000000" w:themeColor="text1"/>
          <w:sz w:val="21"/>
          <w:szCs w:val="21"/>
        </w:rPr>
        <w:drawing>
          <wp:inline distT="0" distB="0" distL="0" distR="0" wp14:anchorId="5F2C2791" wp14:editId="7C1A3B7B">
            <wp:extent cx="4357991" cy="4375219"/>
            <wp:effectExtent l="0" t="0" r="0" b="0"/>
            <wp:docPr id="7" name="Picture 7"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ox and whisker 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7154" cy="4384419"/>
                    </a:xfrm>
                    <a:prstGeom prst="rect">
                      <a:avLst/>
                    </a:prstGeom>
                  </pic:spPr>
                </pic:pic>
              </a:graphicData>
            </a:graphic>
          </wp:inline>
        </w:drawing>
      </w:r>
    </w:p>
    <w:p w14:paraId="75D59669" w14:textId="36A934D6" w:rsidR="00377A6F" w:rsidRPr="00FB4818" w:rsidRDefault="001F7E9F" w:rsidP="00FB4818">
      <w:pPr>
        <w:pStyle w:val="NormalWeb"/>
        <w:rPr>
          <w:i/>
          <w:iCs/>
          <w:color w:val="000000" w:themeColor="text1"/>
          <w:sz w:val="20"/>
          <w:szCs w:val="20"/>
        </w:rPr>
      </w:pPr>
      <w:r w:rsidRPr="00FB4818">
        <w:rPr>
          <w:i/>
          <w:iCs/>
          <w:color w:val="000000" w:themeColor="text1"/>
          <w:sz w:val="20"/>
          <w:szCs w:val="20"/>
        </w:rPr>
        <w:t>Figure 4.</w:t>
      </w:r>
      <w:r w:rsidRPr="00FB4818">
        <w:rPr>
          <w:color w:val="000000" w:themeColor="text1"/>
          <w:sz w:val="20"/>
          <w:szCs w:val="20"/>
        </w:rPr>
        <w:t xml:space="preserve"> Study 3 mean prescriptions per scenario version and prescription wording. </w:t>
      </w:r>
      <w:r w:rsidR="00FB4818" w:rsidRPr="00FB4818">
        <w:rPr>
          <w:color w:val="333333"/>
          <w:sz w:val="20"/>
          <w:szCs w:val="20"/>
        </w:rPr>
        <w:t>In each box plot, the symbol indicates the estimated mean, error bars indicate 95% confidence intervals, and the shaded box indicates the distribution of the data from the 25</w:t>
      </w:r>
      <w:r w:rsidR="00FB4818" w:rsidRPr="00FB4818">
        <w:rPr>
          <w:color w:val="333333"/>
          <w:sz w:val="20"/>
          <w:szCs w:val="20"/>
          <w:vertAlign w:val="superscript"/>
        </w:rPr>
        <w:t>th</w:t>
      </w:r>
      <w:r w:rsidR="00FB4818" w:rsidRPr="00FB4818">
        <w:rPr>
          <w:color w:val="333333"/>
          <w:sz w:val="20"/>
          <w:szCs w:val="20"/>
        </w:rPr>
        <w:t xml:space="preserve"> to the 75</w:t>
      </w:r>
      <w:r w:rsidR="00FB4818" w:rsidRPr="00FB4818">
        <w:rPr>
          <w:color w:val="333333"/>
          <w:sz w:val="20"/>
          <w:szCs w:val="20"/>
          <w:vertAlign w:val="superscript"/>
        </w:rPr>
        <w:t>th</w:t>
      </w:r>
      <w:r w:rsidR="00FB4818" w:rsidRPr="00FB4818">
        <w:rPr>
          <w:color w:val="333333"/>
          <w:sz w:val="20"/>
          <w:szCs w:val="20"/>
        </w:rPr>
        <w:t xml:space="preserve"> percentile.</w:t>
      </w:r>
      <w:r w:rsidR="00FB4818" w:rsidRPr="00FB4818">
        <w:rPr>
          <w:i/>
          <w:iCs/>
          <w:color w:val="000000" w:themeColor="text1"/>
          <w:sz w:val="20"/>
          <w:szCs w:val="20"/>
        </w:rPr>
        <w:t xml:space="preserve"> </w:t>
      </w:r>
      <w:r w:rsidR="008444BC" w:rsidRPr="00FB4818">
        <w:rPr>
          <w:color w:val="333333"/>
          <w:sz w:val="20"/>
          <w:szCs w:val="20"/>
        </w:rPr>
        <w:t xml:space="preserve">Note: The </w:t>
      </w:r>
      <w:r w:rsidR="00ED191D">
        <w:rPr>
          <w:color w:val="333333"/>
          <w:sz w:val="20"/>
          <w:szCs w:val="20"/>
        </w:rPr>
        <w:t>bar for Estimation Wording in the External Agency/Post-commitment condition</w:t>
      </w:r>
      <w:r w:rsidR="008444BC" w:rsidRPr="00FB4818">
        <w:rPr>
          <w:color w:val="333333"/>
          <w:sz w:val="20"/>
          <w:szCs w:val="20"/>
        </w:rPr>
        <w:t xml:space="preserve"> lacks a </w:t>
      </w:r>
      <w:r w:rsidR="009770AD" w:rsidRPr="00FB4818">
        <w:rPr>
          <w:color w:val="333333"/>
          <w:sz w:val="20"/>
          <w:szCs w:val="20"/>
        </w:rPr>
        <w:t>whisker due to the distribution of the lowest quartile being equivalent to the minimum value of the scale.</w:t>
      </w:r>
    </w:p>
    <w:p w14:paraId="4C4419FB" w14:textId="1A36EE24" w:rsidR="00AD61C7" w:rsidRDefault="002B3CA5" w:rsidP="002936DE">
      <w:pPr>
        <w:spacing w:line="480" w:lineRule="auto"/>
        <w:ind w:firstLine="720"/>
      </w:pPr>
      <w:r>
        <w:rPr>
          <w:color w:val="000000" w:themeColor="text1"/>
        </w:rPr>
        <w:lastRenderedPageBreak/>
        <w:t>I</w:t>
      </w:r>
      <w:r w:rsidR="00AD61C7" w:rsidRPr="00931A48">
        <w:rPr>
          <w:color w:val="000000" w:themeColor="text1"/>
        </w:rPr>
        <w:t xml:space="preserve">n </w:t>
      </w:r>
      <w:r>
        <w:rPr>
          <w:color w:val="000000" w:themeColor="text1"/>
        </w:rPr>
        <w:t>a</w:t>
      </w:r>
      <w:r w:rsidR="00AD61C7" w:rsidRPr="00931A48">
        <w:rPr>
          <w:color w:val="000000" w:themeColor="text1"/>
        </w:rPr>
        <w:t xml:space="preserve"> </w:t>
      </w:r>
      <w:r>
        <w:rPr>
          <w:color w:val="000000" w:themeColor="text1"/>
        </w:rPr>
        <w:t>similar</w:t>
      </w:r>
      <w:r w:rsidR="00AD61C7" w:rsidRPr="00931A48">
        <w:rPr>
          <w:color w:val="000000" w:themeColor="text1"/>
        </w:rPr>
        <w:t xml:space="preserve"> fashion as Study 1, we </w:t>
      </w:r>
      <w:r>
        <w:rPr>
          <w:color w:val="000000" w:themeColor="text1"/>
        </w:rPr>
        <w:t>also ran</w:t>
      </w:r>
      <w:r w:rsidR="00AD61C7" w:rsidRPr="00931A48">
        <w:rPr>
          <w:color w:val="000000" w:themeColor="text1"/>
        </w:rPr>
        <w:t xml:space="preserve"> a</w:t>
      </w:r>
      <w:r w:rsidR="009E1907">
        <w:rPr>
          <w:color w:val="000000" w:themeColor="text1"/>
        </w:rPr>
        <w:t xml:space="preserve">n </w:t>
      </w:r>
      <w:r w:rsidR="00AD61C7" w:rsidRPr="00931A48">
        <w:rPr>
          <w:color w:val="000000" w:themeColor="text1"/>
        </w:rPr>
        <w:t>analysis with scenario (i.e., award, surgery, investment) as the repeated</w:t>
      </w:r>
      <w:r w:rsidR="008329DC">
        <w:rPr>
          <w:color w:val="000000" w:themeColor="text1"/>
        </w:rPr>
        <w:t xml:space="preserve"> variable</w:t>
      </w:r>
      <w:r w:rsidR="00AD61C7" w:rsidRPr="00931A48">
        <w:rPr>
          <w:color w:val="000000" w:themeColor="text1"/>
        </w:rPr>
        <w:t xml:space="preserve">. In a </w:t>
      </w:r>
      <w:r w:rsidR="00AD61C7" w:rsidRPr="00931A48">
        <w:t>2(</w:t>
      </w:r>
      <w:r w:rsidR="00BE7B93">
        <w:t>Wording</w:t>
      </w:r>
      <w:r w:rsidR="00AD61C7" w:rsidRPr="00931A48">
        <w:t>) x 3(</w:t>
      </w:r>
      <w:r w:rsidR="00AD61C7" w:rsidRPr="00931A48">
        <w:rPr>
          <w:iCs/>
        </w:rPr>
        <w:t>Scenario</w:t>
      </w:r>
      <w:r w:rsidR="00AD61C7" w:rsidRPr="00931A48">
        <w:t xml:space="preserve">) </w:t>
      </w:r>
      <w:r w:rsidR="00BE7B93">
        <w:t>repeated measures</w:t>
      </w:r>
      <w:r w:rsidR="00AD61C7" w:rsidRPr="00931A48">
        <w:t xml:space="preserve"> ANOVA, the effect of wording was the same as already reported. The effect of scenario was significant, reflecting the fact that </w:t>
      </w:r>
      <w:r w:rsidR="007266EC">
        <w:t>optimism</w:t>
      </w:r>
      <w:r w:rsidR="00AD61C7" w:rsidRPr="00931A48">
        <w:t xml:space="preserve"> was </w:t>
      </w:r>
      <w:r w:rsidR="007266EC">
        <w:t xml:space="preserve">differentially </w:t>
      </w:r>
      <w:r w:rsidR="00AD61C7" w:rsidRPr="00931A48">
        <w:t xml:space="preserve">prescribed </w:t>
      </w:r>
      <w:r w:rsidR="007266EC">
        <w:t>across</w:t>
      </w:r>
      <w:r w:rsidR="007D6764">
        <w:t xml:space="preserve"> </w:t>
      </w:r>
      <w:r w:rsidR="00AD61C7" w:rsidRPr="00931A48">
        <w:t>scenarios/protagonists</w:t>
      </w:r>
      <w:r w:rsidR="007266EC">
        <w:t xml:space="preserve">, </w:t>
      </w:r>
      <w:proofErr w:type="gramStart"/>
      <w:r w:rsidR="00AD61C7" w:rsidRPr="00931A48">
        <w:rPr>
          <w:i/>
          <w:iCs/>
        </w:rPr>
        <w:t>F</w:t>
      </w:r>
      <w:r w:rsidR="00AD61C7" w:rsidRPr="00931A48">
        <w:t>(</w:t>
      </w:r>
      <w:proofErr w:type="gramEnd"/>
      <w:r w:rsidR="00AD61C7" w:rsidRPr="00931A48">
        <w:t xml:space="preserve">2, </w:t>
      </w:r>
      <w:r w:rsidR="007266EC">
        <w:t>408</w:t>
      </w:r>
      <w:r w:rsidR="00AD61C7" w:rsidRPr="00931A48">
        <w:t xml:space="preserve">) = </w:t>
      </w:r>
      <w:r w:rsidR="007266EC">
        <w:t>18.74</w:t>
      </w:r>
      <w:r w:rsidR="00AD61C7" w:rsidRPr="00931A48">
        <w:t xml:space="preserve">, </w:t>
      </w:r>
      <w:r w:rsidR="00AD61C7" w:rsidRPr="00931A48">
        <w:rPr>
          <w:i/>
          <w:iCs/>
        </w:rPr>
        <w:t>p</w:t>
      </w:r>
      <w:r w:rsidR="00AD61C7" w:rsidRPr="00931A48">
        <w:t xml:space="preserve"> &lt; .001,</w:t>
      </w:r>
      <w:r w:rsidR="00AD61C7" w:rsidRPr="00931A48">
        <w:rPr>
          <w:color w:val="000000" w:themeColor="text1"/>
        </w:rPr>
        <w:t xml:space="preserve"> </w:t>
      </w:r>
      <w:r w:rsidR="00AD61C7" w:rsidRPr="00931A48">
        <w:rPr>
          <w:color w:val="000000" w:themeColor="text1"/>
        </w:rPr>
        <w:sym w:font="Symbol" w:char="F068"/>
      </w:r>
      <w:r w:rsidR="00AD61C7" w:rsidRPr="00931A48">
        <w:rPr>
          <w:color w:val="000000" w:themeColor="text1"/>
          <w:vertAlign w:val="subscript"/>
        </w:rPr>
        <w:t>p</w:t>
      </w:r>
      <w:r w:rsidR="00AD61C7" w:rsidRPr="00931A48">
        <w:rPr>
          <w:color w:val="000000" w:themeColor="text1"/>
          <w:vertAlign w:val="superscript"/>
        </w:rPr>
        <w:t xml:space="preserve">2 </w:t>
      </w:r>
      <w:r w:rsidR="00AD61C7" w:rsidRPr="00931A48">
        <w:rPr>
          <w:color w:val="000000" w:themeColor="text1"/>
        </w:rPr>
        <w:t>= .040</w:t>
      </w:r>
      <w:r w:rsidR="00AD61C7" w:rsidRPr="00931A48">
        <w:t xml:space="preserve">. </w:t>
      </w:r>
      <w:r w:rsidR="00FE5469">
        <w:t>However, there was not a</w:t>
      </w:r>
      <w:r w:rsidR="00AD61C7" w:rsidRPr="00931A48">
        <w:t xml:space="preserve"> significant Wording x Scenario interaction</w:t>
      </w:r>
      <w:r w:rsidR="00FE5469">
        <w:t xml:space="preserve">, indicating that </w:t>
      </w:r>
      <w:r w:rsidR="00D93769">
        <w:t>difference</w:t>
      </w:r>
      <w:r w:rsidR="00565920">
        <w:t xml:space="preserve"> in prescribed optimism</w:t>
      </w:r>
      <w:r w:rsidR="00D93769">
        <w:t xml:space="preserve"> between the Feeling and Estimation prescriptions </w:t>
      </w:r>
      <w:r w:rsidR="00FE5469">
        <w:t xml:space="preserve">was similar across the different scenarios, </w:t>
      </w:r>
      <w:proofErr w:type="gramStart"/>
      <w:r w:rsidR="00AD61C7" w:rsidRPr="00931A48">
        <w:rPr>
          <w:i/>
          <w:iCs/>
        </w:rPr>
        <w:t>F</w:t>
      </w:r>
      <w:r w:rsidR="00AD61C7" w:rsidRPr="00931A48">
        <w:t>(</w:t>
      </w:r>
      <w:proofErr w:type="gramEnd"/>
      <w:r w:rsidR="00AD61C7" w:rsidRPr="00931A48">
        <w:t xml:space="preserve">2, </w:t>
      </w:r>
      <w:r w:rsidR="00FE5469">
        <w:t>408</w:t>
      </w:r>
      <w:r w:rsidR="00AD61C7" w:rsidRPr="00931A48">
        <w:t xml:space="preserve">) = </w:t>
      </w:r>
      <w:r w:rsidR="00FE5469">
        <w:t>0.86</w:t>
      </w:r>
      <w:r w:rsidR="00AD61C7" w:rsidRPr="00931A48">
        <w:t xml:space="preserve">, </w:t>
      </w:r>
      <w:r w:rsidR="00AD61C7" w:rsidRPr="00931A48">
        <w:rPr>
          <w:i/>
          <w:iCs/>
        </w:rPr>
        <w:t xml:space="preserve">p </w:t>
      </w:r>
      <w:r w:rsidR="00FE5469">
        <w:t>= .424</w:t>
      </w:r>
      <w:r w:rsidR="00AD61C7" w:rsidRPr="00931A48">
        <w:t xml:space="preserve">, </w:t>
      </w:r>
      <w:r w:rsidR="00AD61C7" w:rsidRPr="00931A48">
        <w:rPr>
          <w:color w:val="000000" w:themeColor="text1"/>
        </w:rPr>
        <w:sym w:font="Symbol" w:char="F068"/>
      </w:r>
      <w:r w:rsidR="00AD61C7" w:rsidRPr="00931A48">
        <w:rPr>
          <w:color w:val="000000" w:themeColor="text1"/>
          <w:vertAlign w:val="subscript"/>
        </w:rPr>
        <w:t>p</w:t>
      </w:r>
      <w:r w:rsidR="00AD61C7" w:rsidRPr="00931A48">
        <w:rPr>
          <w:color w:val="000000" w:themeColor="text1"/>
          <w:vertAlign w:val="superscript"/>
        </w:rPr>
        <w:t xml:space="preserve">2  </w:t>
      </w:r>
      <w:r w:rsidR="00AD61C7" w:rsidRPr="00931A48">
        <w:rPr>
          <w:color w:val="000000" w:themeColor="text1"/>
        </w:rPr>
        <w:t>= .</w:t>
      </w:r>
      <w:r w:rsidR="00FE5469">
        <w:rPr>
          <w:color w:val="000000" w:themeColor="text1"/>
        </w:rPr>
        <w:t>004</w:t>
      </w:r>
      <w:r w:rsidR="00AD61C7" w:rsidRPr="00931A48">
        <w:rPr>
          <w:color w:val="000000" w:themeColor="text1"/>
        </w:rPr>
        <w:t>.</w:t>
      </w:r>
      <w:r w:rsidR="00D93769">
        <w:rPr>
          <w:color w:val="000000" w:themeColor="text1"/>
        </w:rPr>
        <w:t xml:space="preserve"> </w:t>
      </w:r>
    </w:p>
    <w:p w14:paraId="12E86553" w14:textId="045E1DE1" w:rsidR="00377A6F" w:rsidRDefault="005C2186" w:rsidP="00D26793">
      <w:pPr>
        <w:widowControl w:val="0"/>
        <w:spacing w:line="480" w:lineRule="auto"/>
        <w:ind w:firstLine="720"/>
      </w:pPr>
      <w:r>
        <w:t xml:space="preserve">Finally, </w:t>
      </w:r>
      <w:r w:rsidR="00A35726">
        <w:t xml:space="preserve">since Study 3 had a </w:t>
      </w:r>
      <w:r w:rsidR="00C658D1">
        <w:t>within-subjects design</w:t>
      </w:r>
      <w:r w:rsidR="009A5BDF">
        <w:t xml:space="preserve"> (as did Study 2)</w:t>
      </w:r>
      <w:r w:rsidR="00A35726">
        <w:t xml:space="preserve">, the results show </w:t>
      </w:r>
      <w:r w:rsidR="00C658D1">
        <w:t>that the same</w:t>
      </w:r>
      <w:r w:rsidR="008C65DA">
        <w:t xml:space="preserve"> </w:t>
      </w:r>
      <w:r w:rsidR="00C658D1">
        <w:t>participants can and will prescribe both feeling optimistic yet underestimating the likelihood of desired outcomes.</w:t>
      </w:r>
      <w:r w:rsidR="002C2C9C">
        <w:t xml:space="preserve"> </w:t>
      </w:r>
      <w:r w:rsidR="00C658D1">
        <w:t xml:space="preserve"> In fact</w:t>
      </w:r>
      <w:r w:rsidR="00356753">
        <w:t>, 151 out of the 208 participants prescribed optimism yet also prescribed accurate or underestimation to at least one of the three scenarios.</w:t>
      </w:r>
    </w:p>
    <w:p w14:paraId="29ACEDC6" w14:textId="77777777" w:rsidR="00ED191D" w:rsidRPr="00C96AA5" w:rsidRDefault="00ED191D" w:rsidP="00ED191D">
      <w:pPr>
        <w:widowControl w:val="0"/>
        <w:spacing w:line="480" w:lineRule="auto"/>
      </w:pPr>
    </w:p>
    <w:tbl>
      <w:tblPr>
        <w:tblW w:w="11048" w:type="dxa"/>
        <w:jc w:val="center"/>
        <w:tblCellMar>
          <w:top w:w="15" w:type="dxa"/>
        </w:tblCellMar>
        <w:tblLook w:val="04A0" w:firstRow="1" w:lastRow="0" w:firstColumn="1" w:lastColumn="0" w:noHBand="0" w:noVBand="1"/>
      </w:tblPr>
      <w:tblGrid>
        <w:gridCol w:w="1999"/>
        <w:gridCol w:w="2111"/>
        <w:gridCol w:w="1896"/>
        <w:gridCol w:w="1787"/>
        <w:gridCol w:w="1837"/>
        <w:gridCol w:w="1418"/>
      </w:tblGrid>
      <w:tr w:rsidR="00C96AA5" w:rsidRPr="00C96AA5" w14:paraId="769671F5" w14:textId="77777777" w:rsidTr="00180692">
        <w:trPr>
          <w:trHeight w:val="214"/>
          <w:jc w:val="center"/>
        </w:trPr>
        <w:tc>
          <w:tcPr>
            <w:tcW w:w="11048" w:type="dxa"/>
            <w:gridSpan w:val="6"/>
            <w:tcBorders>
              <w:top w:val="nil"/>
              <w:left w:val="nil"/>
              <w:bottom w:val="single" w:sz="4" w:space="0" w:color="auto"/>
              <w:right w:val="nil"/>
            </w:tcBorders>
            <w:shd w:val="clear" w:color="000000" w:fill="FFFFFF"/>
            <w:noWrap/>
            <w:vAlign w:val="bottom"/>
            <w:hideMark/>
          </w:tcPr>
          <w:p w14:paraId="543E56D8" w14:textId="77777777" w:rsidR="00C96AA5" w:rsidRPr="00C96AA5" w:rsidRDefault="00C96AA5" w:rsidP="00377A6F">
            <w:pPr>
              <w:rPr>
                <w:color w:val="000000"/>
              </w:rPr>
            </w:pPr>
            <w:r w:rsidRPr="00C96AA5">
              <w:rPr>
                <w:color w:val="000000"/>
              </w:rPr>
              <w:t>Table 4.</w:t>
            </w:r>
            <w:r w:rsidRPr="00C96AA5">
              <w:rPr>
                <w:i/>
                <w:iCs/>
                <w:color w:val="000000"/>
              </w:rPr>
              <w:t xml:space="preserve"> Study 3 Mean Prescriptions Per Scenario, Version, and Prescription Wording</w:t>
            </w:r>
          </w:p>
        </w:tc>
      </w:tr>
      <w:tr w:rsidR="00180692" w:rsidRPr="00C96AA5" w14:paraId="37105792" w14:textId="77777777" w:rsidTr="00180692">
        <w:trPr>
          <w:trHeight w:val="300"/>
          <w:jc w:val="center"/>
        </w:trPr>
        <w:tc>
          <w:tcPr>
            <w:tcW w:w="1999" w:type="dxa"/>
            <w:vMerge w:val="restart"/>
            <w:tcBorders>
              <w:top w:val="nil"/>
              <w:left w:val="nil"/>
              <w:bottom w:val="single" w:sz="4" w:space="0" w:color="000000"/>
              <w:right w:val="nil"/>
            </w:tcBorders>
            <w:shd w:val="clear" w:color="000000" w:fill="FFFFFF"/>
            <w:noWrap/>
            <w:vAlign w:val="center"/>
            <w:hideMark/>
          </w:tcPr>
          <w:p w14:paraId="049ECDE0" w14:textId="77777777" w:rsidR="00C96AA5" w:rsidRPr="00C96AA5" w:rsidRDefault="00C96AA5" w:rsidP="00377A6F">
            <w:pPr>
              <w:jc w:val="center"/>
              <w:rPr>
                <w:color w:val="000000"/>
                <w:sz w:val="22"/>
                <w:szCs w:val="22"/>
              </w:rPr>
            </w:pPr>
            <w:r w:rsidRPr="00C96AA5">
              <w:rPr>
                <w:color w:val="000000"/>
                <w:sz w:val="22"/>
                <w:szCs w:val="22"/>
              </w:rPr>
              <w:t xml:space="preserve">Scenarios </w:t>
            </w:r>
          </w:p>
        </w:tc>
        <w:tc>
          <w:tcPr>
            <w:tcW w:w="2111" w:type="dxa"/>
            <w:vMerge w:val="restart"/>
            <w:tcBorders>
              <w:top w:val="nil"/>
              <w:left w:val="nil"/>
              <w:bottom w:val="single" w:sz="4" w:space="0" w:color="000000"/>
              <w:right w:val="nil"/>
            </w:tcBorders>
            <w:shd w:val="clear" w:color="000000" w:fill="FFFFFF"/>
            <w:vAlign w:val="center"/>
            <w:hideMark/>
          </w:tcPr>
          <w:p w14:paraId="5B4CC63E" w14:textId="77777777" w:rsidR="00C96AA5" w:rsidRPr="00C96AA5" w:rsidRDefault="00C96AA5" w:rsidP="00377A6F">
            <w:pPr>
              <w:jc w:val="center"/>
              <w:rPr>
                <w:color w:val="000000"/>
                <w:sz w:val="22"/>
                <w:szCs w:val="22"/>
              </w:rPr>
            </w:pPr>
            <w:r w:rsidRPr="00C96AA5">
              <w:rPr>
                <w:color w:val="000000"/>
                <w:sz w:val="22"/>
                <w:szCs w:val="22"/>
              </w:rPr>
              <w:t xml:space="preserve">Prescription </w:t>
            </w:r>
            <w:r w:rsidRPr="00C96AA5">
              <w:rPr>
                <w:color w:val="000000"/>
                <w:sz w:val="22"/>
                <w:szCs w:val="22"/>
              </w:rPr>
              <w:br/>
              <w:t>Wording</w:t>
            </w:r>
          </w:p>
        </w:tc>
        <w:tc>
          <w:tcPr>
            <w:tcW w:w="5520" w:type="dxa"/>
            <w:gridSpan w:val="3"/>
            <w:tcBorders>
              <w:top w:val="single" w:sz="4" w:space="0" w:color="auto"/>
              <w:left w:val="nil"/>
              <w:bottom w:val="single" w:sz="4" w:space="0" w:color="auto"/>
              <w:right w:val="nil"/>
            </w:tcBorders>
            <w:shd w:val="clear" w:color="000000" w:fill="FFFFFF"/>
            <w:noWrap/>
            <w:vAlign w:val="center"/>
            <w:hideMark/>
          </w:tcPr>
          <w:p w14:paraId="2B5E1762" w14:textId="77777777" w:rsidR="00C96AA5" w:rsidRPr="00C96AA5" w:rsidRDefault="00C96AA5" w:rsidP="00377A6F">
            <w:pPr>
              <w:jc w:val="center"/>
              <w:rPr>
                <w:color w:val="000000"/>
                <w:sz w:val="22"/>
                <w:szCs w:val="22"/>
              </w:rPr>
            </w:pPr>
            <w:r w:rsidRPr="00C96AA5">
              <w:rPr>
                <w:color w:val="000000"/>
                <w:sz w:val="22"/>
                <w:szCs w:val="22"/>
              </w:rPr>
              <w:t>Scenario Moderators</w:t>
            </w:r>
          </w:p>
        </w:tc>
        <w:tc>
          <w:tcPr>
            <w:tcW w:w="1418" w:type="dxa"/>
            <w:vMerge w:val="restart"/>
            <w:tcBorders>
              <w:top w:val="single" w:sz="4" w:space="0" w:color="auto"/>
              <w:left w:val="nil"/>
              <w:bottom w:val="single" w:sz="4" w:space="0" w:color="000000"/>
              <w:right w:val="nil"/>
            </w:tcBorders>
            <w:shd w:val="clear" w:color="000000" w:fill="FFFFFF"/>
            <w:vAlign w:val="center"/>
            <w:hideMark/>
          </w:tcPr>
          <w:p w14:paraId="53B3E2CB" w14:textId="77777777" w:rsidR="00C96AA5" w:rsidRPr="00C96AA5" w:rsidRDefault="00C96AA5" w:rsidP="00377A6F">
            <w:pPr>
              <w:jc w:val="center"/>
              <w:rPr>
                <w:color w:val="000000"/>
                <w:sz w:val="22"/>
                <w:szCs w:val="22"/>
              </w:rPr>
            </w:pPr>
            <w:r w:rsidRPr="00C96AA5">
              <w:rPr>
                <w:color w:val="000000"/>
                <w:sz w:val="22"/>
                <w:szCs w:val="22"/>
              </w:rPr>
              <w:t>Average</w:t>
            </w:r>
            <w:r w:rsidRPr="00C96AA5">
              <w:rPr>
                <w:color w:val="000000"/>
                <w:sz w:val="22"/>
                <w:szCs w:val="22"/>
              </w:rPr>
              <w:br/>
              <w:t xml:space="preserve"> (collapsed across versions)</w:t>
            </w:r>
          </w:p>
        </w:tc>
      </w:tr>
      <w:tr w:rsidR="00C96AA5" w:rsidRPr="00C96AA5" w14:paraId="5D3A07F0" w14:textId="77777777" w:rsidTr="00180692">
        <w:trPr>
          <w:trHeight w:val="276"/>
          <w:jc w:val="center"/>
        </w:trPr>
        <w:tc>
          <w:tcPr>
            <w:tcW w:w="1999" w:type="dxa"/>
            <w:vMerge/>
            <w:tcBorders>
              <w:top w:val="nil"/>
              <w:left w:val="nil"/>
              <w:bottom w:val="single" w:sz="4" w:space="0" w:color="000000"/>
              <w:right w:val="nil"/>
            </w:tcBorders>
            <w:vAlign w:val="center"/>
            <w:hideMark/>
          </w:tcPr>
          <w:p w14:paraId="08FC3D01" w14:textId="77777777" w:rsidR="00C96AA5" w:rsidRPr="00C96AA5" w:rsidRDefault="00C96AA5" w:rsidP="00377A6F">
            <w:pPr>
              <w:rPr>
                <w:color w:val="000000"/>
              </w:rPr>
            </w:pPr>
          </w:p>
        </w:tc>
        <w:tc>
          <w:tcPr>
            <w:tcW w:w="2111" w:type="dxa"/>
            <w:vMerge/>
            <w:tcBorders>
              <w:top w:val="nil"/>
              <w:left w:val="nil"/>
              <w:bottom w:val="single" w:sz="4" w:space="0" w:color="000000"/>
              <w:right w:val="nil"/>
            </w:tcBorders>
            <w:vAlign w:val="center"/>
            <w:hideMark/>
          </w:tcPr>
          <w:p w14:paraId="4FBD1558" w14:textId="77777777" w:rsidR="00C96AA5" w:rsidRPr="00C96AA5" w:rsidRDefault="00C96AA5" w:rsidP="00377A6F">
            <w:pPr>
              <w:rPr>
                <w:color w:val="000000"/>
              </w:rPr>
            </w:pPr>
          </w:p>
        </w:tc>
        <w:tc>
          <w:tcPr>
            <w:tcW w:w="1896" w:type="dxa"/>
            <w:vMerge w:val="restart"/>
            <w:tcBorders>
              <w:top w:val="nil"/>
              <w:left w:val="nil"/>
              <w:bottom w:val="single" w:sz="4" w:space="0" w:color="000000"/>
              <w:right w:val="nil"/>
            </w:tcBorders>
            <w:shd w:val="clear" w:color="000000" w:fill="FFFFFF"/>
            <w:vAlign w:val="center"/>
            <w:hideMark/>
          </w:tcPr>
          <w:p w14:paraId="23E8C3D6" w14:textId="77777777" w:rsidR="00C96AA5" w:rsidRPr="00C96AA5" w:rsidRDefault="00C96AA5" w:rsidP="00377A6F">
            <w:pPr>
              <w:jc w:val="center"/>
              <w:rPr>
                <w:color w:val="000000"/>
                <w:sz w:val="22"/>
                <w:szCs w:val="22"/>
              </w:rPr>
            </w:pPr>
            <w:r w:rsidRPr="00C96AA5">
              <w:rPr>
                <w:color w:val="000000"/>
                <w:sz w:val="22"/>
                <w:szCs w:val="22"/>
              </w:rPr>
              <w:t xml:space="preserve">Internal agency/ </w:t>
            </w:r>
            <w:r w:rsidRPr="00C96AA5">
              <w:rPr>
                <w:color w:val="000000"/>
                <w:sz w:val="22"/>
                <w:szCs w:val="22"/>
              </w:rPr>
              <w:br/>
              <w:t>pre-commitment</w:t>
            </w:r>
          </w:p>
        </w:tc>
        <w:tc>
          <w:tcPr>
            <w:tcW w:w="1787" w:type="dxa"/>
            <w:vMerge w:val="restart"/>
            <w:tcBorders>
              <w:top w:val="nil"/>
              <w:left w:val="nil"/>
              <w:bottom w:val="single" w:sz="4" w:space="0" w:color="000000"/>
              <w:right w:val="nil"/>
            </w:tcBorders>
            <w:shd w:val="clear" w:color="000000" w:fill="FFFFFF"/>
            <w:vAlign w:val="center"/>
            <w:hideMark/>
          </w:tcPr>
          <w:p w14:paraId="33ADADAD" w14:textId="77777777" w:rsidR="00C96AA5" w:rsidRPr="00C96AA5" w:rsidRDefault="00C96AA5" w:rsidP="00377A6F">
            <w:pPr>
              <w:jc w:val="center"/>
              <w:rPr>
                <w:color w:val="000000"/>
                <w:sz w:val="22"/>
                <w:szCs w:val="22"/>
              </w:rPr>
            </w:pPr>
            <w:r w:rsidRPr="00C96AA5">
              <w:rPr>
                <w:color w:val="000000"/>
                <w:sz w:val="22"/>
                <w:szCs w:val="22"/>
              </w:rPr>
              <w:t>Internal agency/</w:t>
            </w:r>
            <w:r w:rsidRPr="00C96AA5">
              <w:rPr>
                <w:color w:val="000000"/>
                <w:sz w:val="22"/>
                <w:szCs w:val="22"/>
              </w:rPr>
              <w:br/>
              <w:t>post-commitment</w:t>
            </w:r>
          </w:p>
        </w:tc>
        <w:tc>
          <w:tcPr>
            <w:tcW w:w="1837" w:type="dxa"/>
            <w:vMerge w:val="restart"/>
            <w:tcBorders>
              <w:top w:val="nil"/>
              <w:left w:val="nil"/>
              <w:bottom w:val="nil"/>
              <w:right w:val="nil"/>
            </w:tcBorders>
            <w:shd w:val="clear" w:color="000000" w:fill="FFFFFF"/>
            <w:vAlign w:val="center"/>
            <w:hideMark/>
          </w:tcPr>
          <w:p w14:paraId="28ECA3E2" w14:textId="77777777" w:rsidR="00C96AA5" w:rsidRPr="00C96AA5" w:rsidRDefault="00C96AA5" w:rsidP="00377A6F">
            <w:pPr>
              <w:jc w:val="center"/>
              <w:rPr>
                <w:color w:val="000000"/>
                <w:sz w:val="22"/>
                <w:szCs w:val="22"/>
              </w:rPr>
            </w:pPr>
            <w:r w:rsidRPr="00C96AA5">
              <w:rPr>
                <w:color w:val="000000"/>
                <w:sz w:val="22"/>
                <w:szCs w:val="22"/>
              </w:rPr>
              <w:t>External agency/</w:t>
            </w:r>
            <w:r w:rsidRPr="00C96AA5">
              <w:rPr>
                <w:color w:val="000000"/>
                <w:sz w:val="22"/>
                <w:szCs w:val="22"/>
              </w:rPr>
              <w:br/>
              <w:t>post-commitment</w:t>
            </w:r>
          </w:p>
        </w:tc>
        <w:tc>
          <w:tcPr>
            <w:tcW w:w="1418" w:type="dxa"/>
            <w:vMerge/>
            <w:tcBorders>
              <w:top w:val="nil"/>
              <w:left w:val="nil"/>
              <w:bottom w:val="nil"/>
              <w:right w:val="nil"/>
            </w:tcBorders>
            <w:vAlign w:val="center"/>
            <w:hideMark/>
          </w:tcPr>
          <w:p w14:paraId="1957ED5F" w14:textId="77777777" w:rsidR="00C96AA5" w:rsidRPr="00C96AA5" w:rsidRDefault="00C96AA5" w:rsidP="00377A6F">
            <w:pPr>
              <w:rPr>
                <w:color w:val="000000"/>
              </w:rPr>
            </w:pPr>
          </w:p>
        </w:tc>
      </w:tr>
      <w:tr w:rsidR="00180692" w:rsidRPr="00C96AA5" w14:paraId="0242011C" w14:textId="77777777" w:rsidTr="00180692">
        <w:trPr>
          <w:trHeight w:val="327"/>
          <w:jc w:val="center"/>
        </w:trPr>
        <w:tc>
          <w:tcPr>
            <w:tcW w:w="1999" w:type="dxa"/>
            <w:vMerge/>
            <w:tcBorders>
              <w:top w:val="nil"/>
              <w:left w:val="nil"/>
              <w:bottom w:val="single" w:sz="4" w:space="0" w:color="000000"/>
              <w:right w:val="nil"/>
            </w:tcBorders>
            <w:vAlign w:val="center"/>
            <w:hideMark/>
          </w:tcPr>
          <w:p w14:paraId="164F6565" w14:textId="77777777" w:rsidR="00C96AA5" w:rsidRPr="00C96AA5" w:rsidRDefault="00C96AA5" w:rsidP="00377A6F">
            <w:pPr>
              <w:rPr>
                <w:color w:val="000000"/>
              </w:rPr>
            </w:pPr>
          </w:p>
        </w:tc>
        <w:tc>
          <w:tcPr>
            <w:tcW w:w="2111" w:type="dxa"/>
            <w:vMerge/>
            <w:tcBorders>
              <w:top w:val="nil"/>
              <w:left w:val="nil"/>
              <w:bottom w:val="single" w:sz="4" w:space="0" w:color="000000"/>
              <w:right w:val="nil"/>
            </w:tcBorders>
            <w:vAlign w:val="center"/>
            <w:hideMark/>
          </w:tcPr>
          <w:p w14:paraId="7EF19A0C" w14:textId="77777777" w:rsidR="00C96AA5" w:rsidRPr="00C96AA5" w:rsidRDefault="00C96AA5" w:rsidP="00377A6F">
            <w:pPr>
              <w:rPr>
                <w:color w:val="000000"/>
              </w:rPr>
            </w:pPr>
          </w:p>
        </w:tc>
        <w:tc>
          <w:tcPr>
            <w:tcW w:w="1896" w:type="dxa"/>
            <w:vMerge/>
            <w:tcBorders>
              <w:top w:val="nil"/>
              <w:left w:val="nil"/>
              <w:bottom w:val="single" w:sz="4" w:space="0" w:color="000000"/>
              <w:right w:val="nil"/>
            </w:tcBorders>
            <w:vAlign w:val="center"/>
            <w:hideMark/>
          </w:tcPr>
          <w:p w14:paraId="15AFADB5" w14:textId="77777777" w:rsidR="00C96AA5" w:rsidRPr="00C96AA5" w:rsidRDefault="00C96AA5" w:rsidP="00377A6F">
            <w:pPr>
              <w:rPr>
                <w:color w:val="000000"/>
                <w:sz w:val="22"/>
                <w:szCs w:val="22"/>
              </w:rPr>
            </w:pPr>
          </w:p>
        </w:tc>
        <w:tc>
          <w:tcPr>
            <w:tcW w:w="1787" w:type="dxa"/>
            <w:vMerge/>
            <w:tcBorders>
              <w:top w:val="nil"/>
              <w:left w:val="nil"/>
              <w:bottom w:val="single" w:sz="4" w:space="0" w:color="000000"/>
              <w:right w:val="nil"/>
            </w:tcBorders>
            <w:vAlign w:val="center"/>
            <w:hideMark/>
          </w:tcPr>
          <w:p w14:paraId="0FA7A93C" w14:textId="77777777" w:rsidR="00C96AA5" w:rsidRPr="00C96AA5" w:rsidRDefault="00C96AA5" w:rsidP="00377A6F">
            <w:pPr>
              <w:rPr>
                <w:color w:val="000000"/>
                <w:sz w:val="22"/>
                <w:szCs w:val="22"/>
              </w:rPr>
            </w:pPr>
          </w:p>
        </w:tc>
        <w:tc>
          <w:tcPr>
            <w:tcW w:w="1837" w:type="dxa"/>
            <w:vMerge/>
            <w:tcBorders>
              <w:top w:val="nil"/>
              <w:left w:val="nil"/>
              <w:bottom w:val="nil"/>
              <w:right w:val="nil"/>
            </w:tcBorders>
            <w:vAlign w:val="center"/>
            <w:hideMark/>
          </w:tcPr>
          <w:p w14:paraId="2E142A48" w14:textId="77777777" w:rsidR="00C96AA5" w:rsidRPr="00C96AA5" w:rsidRDefault="00C96AA5" w:rsidP="00377A6F">
            <w:pPr>
              <w:rPr>
                <w:color w:val="000000"/>
                <w:sz w:val="22"/>
                <w:szCs w:val="22"/>
              </w:rPr>
            </w:pPr>
          </w:p>
        </w:tc>
        <w:tc>
          <w:tcPr>
            <w:tcW w:w="1418" w:type="dxa"/>
            <w:vMerge/>
            <w:tcBorders>
              <w:top w:val="nil"/>
              <w:left w:val="nil"/>
              <w:bottom w:val="nil"/>
              <w:right w:val="nil"/>
            </w:tcBorders>
            <w:vAlign w:val="center"/>
            <w:hideMark/>
          </w:tcPr>
          <w:p w14:paraId="56A6CA92" w14:textId="77777777" w:rsidR="00C96AA5" w:rsidRPr="00C96AA5" w:rsidRDefault="00C96AA5" w:rsidP="00377A6F">
            <w:pPr>
              <w:rPr>
                <w:color w:val="000000"/>
              </w:rPr>
            </w:pPr>
          </w:p>
        </w:tc>
      </w:tr>
      <w:tr w:rsidR="00180692" w:rsidRPr="00C96AA5" w14:paraId="61501358" w14:textId="77777777" w:rsidTr="00180692">
        <w:trPr>
          <w:trHeight w:val="288"/>
          <w:jc w:val="center"/>
        </w:trPr>
        <w:tc>
          <w:tcPr>
            <w:tcW w:w="1999" w:type="dxa"/>
            <w:vMerge w:val="restart"/>
            <w:tcBorders>
              <w:top w:val="nil"/>
              <w:left w:val="nil"/>
              <w:bottom w:val="nil"/>
              <w:right w:val="nil"/>
            </w:tcBorders>
            <w:shd w:val="clear" w:color="000000" w:fill="F2F2F2"/>
            <w:noWrap/>
            <w:vAlign w:val="center"/>
            <w:hideMark/>
          </w:tcPr>
          <w:p w14:paraId="38FD8556" w14:textId="77777777" w:rsidR="00180692" w:rsidRPr="00180692" w:rsidRDefault="00C96AA5" w:rsidP="00377A6F">
            <w:pPr>
              <w:jc w:val="center"/>
              <w:rPr>
                <w:color w:val="000000"/>
                <w:sz w:val="22"/>
                <w:szCs w:val="22"/>
              </w:rPr>
            </w:pPr>
            <w:r w:rsidRPr="00C96AA5">
              <w:rPr>
                <w:color w:val="000000"/>
                <w:sz w:val="22"/>
                <w:szCs w:val="22"/>
              </w:rPr>
              <w:t xml:space="preserve">Scenario 1 </w:t>
            </w:r>
          </w:p>
          <w:p w14:paraId="3931475E" w14:textId="1F05B500" w:rsidR="00C96AA5" w:rsidRPr="00C96AA5" w:rsidRDefault="00C96AA5" w:rsidP="00377A6F">
            <w:pPr>
              <w:jc w:val="center"/>
              <w:rPr>
                <w:color w:val="000000"/>
                <w:sz w:val="22"/>
                <w:szCs w:val="22"/>
              </w:rPr>
            </w:pPr>
            <w:r w:rsidRPr="00C96AA5">
              <w:rPr>
                <w:color w:val="000000"/>
                <w:sz w:val="22"/>
                <w:szCs w:val="22"/>
              </w:rPr>
              <w:t>(Award)</w:t>
            </w:r>
          </w:p>
        </w:tc>
        <w:tc>
          <w:tcPr>
            <w:tcW w:w="2111" w:type="dxa"/>
            <w:tcBorders>
              <w:top w:val="nil"/>
              <w:left w:val="nil"/>
              <w:bottom w:val="nil"/>
              <w:right w:val="nil"/>
            </w:tcBorders>
            <w:shd w:val="clear" w:color="000000" w:fill="F2F2F2"/>
            <w:noWrap/>
            <w:vAlign w:val="center"/>
            <w:hideMark/>
          </w:tcPr>
          <w:p w14:paraId="328BC3D5" w14:textId="77777777" w:rsidR="00C96AA5" w:rsidRPr="00C96AA5" w:rsidRDefault="00C96AA5" w:rsidP="00377A6F">
            <w:pPr>
              <w:jc w:val="center"/>
              <w:rPr>
                <w:color w:val="000000"/>
                <w:sz w:val="22"/>
                <w:szCs w:val="22"/>
              </w:rPr>
            </w:pPr>
            <w:r w:rsidRPr="00C96AA5">
              <w:rPr>
                <w:color w:val="000000"/>
                <w:sz w:val="22"/>
                <w:szCs w:val="22"/>
              </w:rPr>
              <w:t>Feeling Wording</w:t>
            </w:r>
          </w:p>
        </w:tc>
        <w:tc>
          <w:tcPr>
            <w:tcW w:w="1896" w:type="dxa"/>
            <w:tcBorders>
              <w:top w:val="nil"/>
              <w:left w:val="nil"/>
              <w:bottom w:val="nil"/>
              <w:right w:val="nil"/>
            </w:tcBorders>
            <w:shd w:val="clear" w:color="000000" w:fill="F2F2F2"/>
            <w:noWrap/>
            <w:vAlign w:val="center"/>
            <w:hideMark/>
          </w:tcPr>
          <w:p w14:paraId="36E49553" w14:textId="77777777" w:rsidR="00C96AA5" w:rsidRPr="00C96AA5" w:rsidRDefault="00C96AA5" w:rsidP="00377A6F">
            <w:pPr>
              <w:jc w:val="center"/>
              <w:rPr>
                <w:color w:val="000000"/>
                <w:sz w:val="22"/>
                <w:szCs w:val="22"/>
              </w:rPr>
            </w:pPr>
            <w:r w:rsidRPr="00C96AA5">
              <w:rPr>
                <w:color w:val="000000"/>
                <w:sz w:val="22"/>
                <w:szCs w:val="22"/>
              </w:rPr>
              <w:t>0.25 (0.82)</w:t>
            </w:r>
          </w:p>
        </w:tc>
        <w:tc>
          <w:tcPr>
            <w:tcW w:w="1787" w:type="dxa"/>
            <w:tcBorders>
              <w:top w:val="nil"/>
              <w:left w:val="nil"/>
              <w:bottom w:val="nil"/>
              <w:right w:val="nil"/>
            </w:tcBorders>
            <w:shd w:val="clear" w:color="000000" w:fill="F2F2F2"/>
            <w:noWrap/>
            <w:vAlign w:val="center"/>
            <w:hideMark/>
          </w:tcPr>
          <w:p w14:paraId="7A416DE9" w14:textId="77777777" w:rsidR="00C96AA5" w:rsidRPr="00C96AA5" w:rsidRDefault="00C96AA5" w:rsidP="00377A6F">
            <w:pPr>
              <w:jc w:val="center"/>
              <w:rPr>
                <w:color w:val="000000"/>
                <w:sz w:val="22"/>
                <w:szCs w:val="22"/>
              </w:rPr>
            </w:pPr>
            <w:r w:rsidRPr="00C96AA5">
              <w:rPr>
                <w:color w:val="000000"/>
                <w:sz w:val="22"/>
                <w:szCs w:val="22"/>
              </w:rPr>
              <w:t>0.18 (0.81)</w:t>
            </w:r>
          </w:p>
        </w:tc>
        <w:tc>
          <w:tcPr>
            <w:tcW w:w="1837" w:type="dxa"/>
            <w:tcBorders>
              <w:top w:val="single" w:sz="4" w:space="0" w:color="auto"/>
              <w:left w:val="nil"/>
              <w:bottom w:val="nil"/>
              <w:right w:val="nil"/>
            </w:tcBorders>
            <w:shd w:val="clear" w:color="000000" w:fill="F2F2F2"/>
            <w:noWrap/>
            <w:vAlign w:val="center"/>
            <w:hideMark/>
          </w:tcPr>
          <w:p w14:paraId="3B227EE7" w14:textId="77777777" w:rsidR="00C96AA5" w:rsidRPr="00C96AA5" w:rsidRDefault="00C96AA5" w:rsidP="00377A6F">
            <w:pPr>
              <w:jc w:val="center"/>
              <w:rPr>
                <w:color w:val="000000"/>
                <w:sz w:val="22"/>
                <w:szCs w:val="22"/>
              </w:rPr>
            </w:pPr>
            <w:r w:rsidRPr="00C96AA5">
              <w:rPr>
                <w:color w:val="000000"/>
                <w:sz w:val="22"/>
                <w:szCs w:val="22"/>
              </w:rPr>
              <w:t>0.24 (0.79)</w:t>
            </w:r>
          </w:p>
        </w:tc>
        <w:tc>
          <w:tcPr>
            <w:tcW w:w="1418" w:type="dxa"/>
            <w:tcBorders>
              <w:top w:val="single" w:sz="4" w:space="0" w:color="auto"/>
              <w:left w:val="nil"/>
              <w:bottom w:val="nil"/>
              <w:right w:val="nil"/>
            </w:tcBorders>
            <w:shd w:val="clear" w:color="000000" w:fill="F2F2F2"/>
            <w:noWrap/>
            <w:vAlign w:val="center"/>
            <w:hideMark/>
          </w:tcPr>
          <w:p w14:paraId="356B361E" w14:textId="77777777" w:rsidR="00C96AA5" w:rsidRPr="00C96AA5" w:rsidRDefault="00C96AA5" w:rsidP="00377A6F">
            <w:pPr>
              <w:jc w:val="center"/>
              <w:rPr>
                <w:color w:val="000000"/>
                <w:sz w:val="22"/>
                <w:szCs w:val="22"/>
              </w:rPr>
            </w:pPr>
            <w:r w:rsidRPr="00C96AA5">
              <w:rPr>
                <w:color w:val="000000"/>
                <w:sz w:val="22"/>
                <w:szCs w:val="22"/>
              </w:rPr>
              <w:t>0.22</w:t>
            </w:r>
          </w:p>
        </w:tc>
      </w:tr>
      <w:tr w:rsidR="00180692" w:rsidRPr="00C96AA5" w14:paraId="1708FBB5" w14:textId="77777777" w:rsidTr="00180692">
        <w:trPr>
          <w:trHeight w:val="323"/>
          <w:jc w:val="center"/>
        </w:trPr>
        <w:tc>
          <w:tcPr>
            <w:tcW w:w="1999" w:type="dxa"/>
            <w:vMerge/>
            <w:tcBorders>
              <w:top w:val="nil"/>
              <w:left w:val="nil"/>
              <w:bottom w:val="nil"/>
              <w:right w:val="nil"/>
            </w:tcBorders>
            <w:vAlign w:val="center"/>
            <w:hideMark/>
          </w:tcPr>
          <w:p w14:paraId="58030BC8" w14:textId="77777777" w:rsidR="00C96AA5" w:rsidRPr="00C96AA5" w:rsidRDefault="00C96AA5" w:rsidP="00377A6F">
            <w:pPr>
              <w:rPr>
                <w:color w:val="000000"/>
                <w:sz w:val="22"/>
                <w:szCs w:val="22"/>
              </w:rPr>
            </w:pPr>
          </w:p>
        </w:tc>
        <w:tc>
          <w:tcPr>
            <w:tcW w:w="2111" w:type="dxa"/>
            <w:tcBorders>
              <w:top w:val="nil"/>
              <w:left w:val="nil"/>
              <w:bottom w:val="nil"/>
              <w:right w:val="nil"/>
            </w:tcBorders>
            <w:shd w:val="clear" w:color="000000" w:fill="F2F2F2"/>
            <w:noWrap/>
            <w:vAlign w:val="center"/>
            <w:hideMark/>
          </w:tcPr>
          <w:p w14:paraId="07E7D851" w14:textId="77777777" w:rsidR="00C96AA5" w:rsidRPr="00C96AA5" w:rsidRDefault="00C96AA5" w:rsidP="00377A6F">
            <w:pPr>
              <w:jc w:val="center"/>
              <w:rPr>
                <w:color w:val="000000"/>
                <w:sz w:val="22"/>
                <w:szCs w:val="22"/>
              </w:rPr>
            </w:pPr>
            <w:r w:rsidRPr="00C96AA5">
              <w:rPr>
                <w:color w:val="000000"/>
                <w:sz w:val="22"/>
                <w:szCs w:val="22"/>
              </w:rPr>
              <w:t>Estimation Wording</w:t>
            </w:r>
          </w:p>
        </w:tc>
        <w:tc>
          <w:tcPr>
            <w:tcW w:w="1896" w:type="dxa"/>
            <w:tcBorders>
              <w:top w:val="nil"/>
              <w:left w:val="nil"/>
              <w:bottom w:val="nil"/>
              <w:right w:val="nil"/>
            </w:tcBorders>
            <w:shd w:val="clear" w:color="000000" w:fill="F2F2F2"/>
            <w:noWrap/>
            <w:vAlign w:val="center"/>
            <w:hideMark/>
          </w:tcPr>
          <w:p w14:paraId="64625B0A" w14:textId="77777777" w:rsidR="00C96AA5" w:rsidRPr="00C96AA5" w:rsidRDefault="00C96AA5" w:rsidP="00377A6F">
            <w:pPr>
              <w:jc w:val="center"/>
              <w:rPr>
                <w:color w:val="000000"/>
                <w:sz w:val="22"/>
                <w:szCs w:val="22"/>
              </w:rPr>
            </w:pPr>
            <w:r w:rsidRPr="00C96AA5">
              <w:rPr>
                <w:color w:val="000000"/>
                <w:sz w:val="22"/>
                <w:szCs w:val="22"/>
              </w:rPr>
              <w:t>-0.33 (0.69)</w:t>
            </w:r>
          </w:p>
        </w:tc>
        <w:tc>
          <w:tcPr>
            <w:tcW w:w="1787" w:type="dxa"/>
            <w:tcBorders>
              <w:top w:val="nil"/>
              <w:left w:val="nil"/>
              <w:bottom w:val="nil"/>
              <w:right w:val="nil"/>
            </w:tcBorders>
            <w:shd w:val="clear" w:color="000000" w:fill="F2F2F2"/>
            <w:noWrap/>
            <w:vAlign w:val="center"/>
            <w:hideMark/>
          </w:tcPr>
          <w:p w14:paraId="2C4B70A4" w14:textId="77777777" w:rsidR="00C96AA5" w:rsidRPr="00C96AA5" w:rsidRDefault="00C96AA5" w:rsidP="00377A6F">
            <w:pPr>
              <w:jc w:val="center"/>
              <w:rPr>
                <w:color w:val="000000"/>
                <w:sz w:val="22"/>
                <w:szCs w:val="22"/>
              </w:rPr>
            </w:pPr>
            <w:r w:rsidRPr="00C96AA5">
              <w:rPr>
                <w:color w:val="000000"/>
                <w:sz w:val="22"/>
                <w:szCs w:val="22"/>
              </w:rPr>
              <w:t>-0.38 (0.71)</w:t>
            </w:r>
          </w:p>
        </w:tc>
        <w:tc>
          <w:tcPr>
            <w:tcW w:w="1837" w:type="dxa"/>
            <w:tcBorders>
              <w:top w:val="nil"/>
              <w:left w:val="nil"/>
              <w:bottom w:val="nil"/>
              <w:right w:val="nil"/>
            </w:tcBorders>
            <w:shd w:val="clear" w:color="000000" w:fill="F2F2F2"/>
            <w:noWrap/>
            <w:vAlign w:val="center"/>
            <w:hideMark/>
          </w:tcPr>
          <w:p w14:paraId="652D0D88" w14:textId="77777777" w:rsidR="00C96AA5" w:rsidRPr="00C96AA5" w:rsidRDefault="00C96AA5" w:rsidP="00377A6F">
            <w:pPr>
              <w:jc w:val="center"/>
              <w:rPr>
                <w:color w:val="000000"/>
                <w:sz w:val="22"/>
                <w:szCs w:val="22"/>
              </w:rPr>
            </w:pPr>
            <w:r w:rsidRPr="00C96AA5">
              <w:rPr>
                <w:color w:val="000000"/>
                <w:sz w:val="22"/>
                <w:szCs w:val="22"/>
              </w:rPr>
              <w:t>-0.47 (0.61)</w:t>
            </w:r>
          </w:p>
        </w:tc>
        <w:tc>
          <w:tcPr>
            <w:tcW w:w="1418" w:type="dxa"/>
            <w:tcBorders>
              <w:top w:val="nil"/>
              <w:left w:val="nil"/>
              <w:bottom w:val="nil"/>
              <w:right w:val="nil"/>
            </w:tcBorders>
            <w:shd w:val="clear" w:color="000000" w:fill="F2F2F2"/>
            <w:noWrap/>
            <w:vAlign w:val="center"/>
            <w:hideMark/>
          </w:tcPr>
          <w:p w14:paraId="0C6CFEF7" w14:textId="77777777" w:rsidR="00C96AA5" w:rsidRPr="00C96AA5" w:rsidRDefault="00C96AA5" w:rsidP="00377A6F">
            <w:pPr>
              <w:jc w:val="center"/>
              <w:rPr>
                <w:color w:val="000000"/>
                <w:sz w:val="22"/>
                <w:szCs w:val="22"/>
              </w:rPr>
            </w:pPr>
            <w:r w:rsidRPr="00C96AA5">
              <w:rPr>
                <w:color w:val="000000"/>
                <w:sz w:val="22"/>
                <w:szCs w:val="22"/>
              </w:rPr>
              <w:t>-0.39</w:t>
            </w:r>
          </w:p>
        </w:tc>
      </w:tr>
      <w:tr w:rsidR="00180692" w:rsidRPr="00C96AA5" w14:paraId="5541FD8E" w14:textId="77777777" w:rsidTr="00180692">
        <w:trPr>
          <w:trHeight w:val="288"/>
          <w:jc w:val="center"/>
        </w:trPr>
        <w:tc>
          <w:tcPr>
            <w:tcW w:w="1999" w:type="dxa"/>
            <w:vMerge w:val="restart"/>
            <w:tcBorders>
              <w:top w:val="nil"/>
              <w:left w:val="nil"/>
              <w:bottom w:val="nil"/>
              <w:right w:val="nil"/>
            </w:tcBorders>
            <w:shd w:val="clear" w:color="000000" w:fill="FFFFFF"/>
            <w:noWrap/>
            <w:vAlign w:val="center"/>
            <w:hideMark/>
          </w:tcPr>
          <w:p w14:paraId="0D75F4A5" w14:textId="77777777" w:rsidR="00180692" w:rsidRPr="00180692" w:rsidRDefault="00C96AA5" w:rsidP="00377A6F">
            <w:pPr>
              <w:jc w:val="center"/>
              <w:rPr>
                <w:color w:val="000000"/>
                <w:sz w:val="22"/>
                <w:szCs w:val="22"/>
              </w:rPr>
            </w:pPr>
            <w:r w:rsidRPr="00C96AA5">
              <w:rPr>
                <w:color w:val="000000"/>
                <w:sz w:val="22"/>
                <w:szCs w:val="22"/>
              </w:rPr>
              <w:t xml:space="preserve">Scenario 2 </w:t>
            </w:r>
          </w:p>
          <w:p w14:paraId="4EAD05D3" w14:textId="2DA426EC" w:rsidR="00C96AA5" w:rsidRPr="00C96AA5" w:rsidRDefault="00C96AA5" w:rsidP="00377A6F">
            <w:pPr>
              <w:jc w:val="center"/>
              <w:rPr>
                <w:color w:val="000000"/>
                <w:sz w:val="22"/>
                <w:szCs w:val="22"/>
              </w:rPr>
            </w:pPr>
            <w:r w:rsidRPr="00C96AA5">
              <w:rPr>
                <w:color w:val="000000"/>
                <w:sz w:val="22"/>
                <w:szCs w:val="22"/>
              </w:rPr>
              <w:t>(Surgery)</w:t>
            </w:r>
          </w:p>
        </w:tc>
        <w:tc>
          <w:tcPr>
            <w:tcW w:w="2111" w:type="dxa"/>
            <w:tcBorders>
              <w:top w:val="nil"/>
              <w:left w:val="nil"/>
              <w:bottom w:val="nil"/>
              <w:right w:val="nil"/>
            </w:tcBorders>
            <w:shd w:val="clear" w:color="000000" w:fill="FFFFFF"/>
            <w:noWrap/>
            <w:vAlign w:val="center"/>
            <w:hideMark/>
          </w:tcPr>
          <w:p w14:paraId="5EC55CE5" w14:textId="77777777" w:rsidR="00C96AA5" w:rsidRPr="00C96AA5" w:rsidRDefault="00C96AA5" w:rsidP="00377A6F">
            <w:pPr>
              <w:jc w:val="center"/>
              <w:rPr>
                <w:color w:val="000000"/>
                <w:sz w:val="22"/>
                <w:szCs w:val="22"/>
              </w:rPr>
            </w:pPr>
            <w:r w:rsidRPr="00C96AA5">
              <w:rPr>
                <w:color w:val="000000"/>
                <w:sz w:val="22"/>
                <w:szCs w:val="22"/>
              </w:rPr>
              <w:t>Feeling Wording</w:t>
            </w:r>
          </w:p>
        </w:tc>
        <w:tc>
          <w:tcPr>
            <w:tcW w:w="1896" w:type="dxa"/>
            <w:tcBorders>
              <w:top w:val="nil"/>
              <w:left w:val="nil"/>
              <w:bottom w:val="nil"/>
              <w:right w:val="nil"/>
            </w:tcBorders>
            <w:shd w:val="clear" w:color="000000" w:fill="FFFFFF"/>
            <w:noWrap/>
            <w:vAlign w:val="center"/>
            <w:hideMark/>
          </w:tcPr>
          <w:p w14:paraId="5489B6F3" w14:textId="77777777" w:rsidR="00C96AA5" w:rsidRPr="00C96AA5" w:rsidRDefault="00C96AA5" w:rsidP="00377A6F">
            <w:pPr>
              <w:jc w:val="center"/>
              <w:rPr>
                <w:color w:val="000000"/>
                <w:sz w:val="22"/>
                <w:szCs w:val="22"/>
              </w:rPr>
            </w:pPr>
            <w:r w:rsidRPr="00C96AA5">
              <w:rPr>
                <w:color w:val="000000"/>
                <w:sz w:val="22"/>
                <w:szCs w:val="22"/>
              </w:rPr>
              <w:t>0.34 (0.95)</w:t>
            </w:r>
          </w:p>
        </w:tc>
        <w:tc>
          <w:tcPr>
            <w:tcW w:w="1787" w:type="dxa"/>
            <w:tcBorders>
              <w:top w:val="nil"/>
              <w:left w:val="nil"/>
              <w:bottom w:val="nil"/>
              <w:right w:val="nil"/>
            </w:tcBorders>
            <w:shd w:val="clear" w:color="000000" w:fill="FFFFFF"/>
            <w:noWrap/>
            <w:vAlign w:val="center"/>
            <w:hideMark/>
          </w:tcPr>
          <w:p w14:paraId="423C687C" w14:textId="77777777" w:rsidR="00C96AA5" w:rsidRPr="00C96AA5" w:rsidRDefault="00C96AA5" w:rsidP="00377A6F">
            <w:pPr>
              <w:jc w:val="center"/>
              <w:rPr>
                <w:color w:val="000000"/>
                <w:sz w:val="22"/>
                <w:szCs w:val="22"/>
              </w:rPr>
            </w:pPr>
            <w:r w:rsidRPr="00C96AA5">
              <w:rPr>
                <w:color w:val="000000"/>
                <w:sz w:val="22"/>
                <w:szCs w:val="22"/>
              </w:rPr>
              <w:t>0.72 (0.91)</w:t>
            </w:r>
          </w:p>
        </w:tc>
        <w:tc>
          <w:tcPr>
            <w:tcW w:w="1837" w:type="dxa"/>
            <w:tcBorders>
              <w:top w:val="nil"/>
              <w:left w:val="nil"/>
              <w:bottom w:val="nil"/>
              <w:right w:val="nil"/>
            </w:tcBorders>
            <w:shd w:val="clear" w:color="000000" w:fill="FFFFFF"/>
            <w:noWrap/>
            <w:vAlign w:val="center"/>
            <w:hideMark/>
          </w:tcPr>
          <w:p w14:paraId="22813F94" w14:textId="77777777" w:rsidR="00C96AA5" w:rsidRPr="00C96AA5" w:rsidRDefault="00C96AA5" w:rsidP="00377A6F">
            <w:pPr>
              <w:jc w:val="center"/>
              <w:rPr>
                <w:color w:val="000000"/>
                <w:sz w:val="22"/>
                <w:szCs w:val="22"/>
              </w:rPr>
            </w:pPr>
            <w:r w:rsidRPr="00C96AA5">
              <w:rPr>
                <w:color w:val="000000"/>
                <w:sz w:val="22"/>
                <w:szCs w:val="22"/>
              </w:rPr>
              <w:t>0.51 (0.91)</w:t>
            </w:r>
          </w:p>
        </w:tc>
        <w:tc>
          <w:tcPr>
            <w:tcW w:w="1418" w:type="dxa"/>
            <w:tcBorders>
              <w:top w:val="nil"/>
              <w:left w:val="nil"/>
              <w:bottom w:val="nil"/>
              <w:right w:val="nil"/>
            </w:tcBorders>
            <w:shd w:val="clear" w:color="000000" w:fill="FFFFFF"/>
            <w:noWrap/>
            <w:vAlign w:val="center"/>
            <w:hideMark/>
          </w:tcPr>
          <w:p w14:paraId="5370E522" w14:textId="77777777" w:rsidR="00C96AA5" w:rsidRPr="00C96AA5" w:rsidRDefault="00C96AA5" w:rsidP="00377A6F">
            <w:pPr>
              <w:jc w:val="center"/>
              <w:rPr>
                <w:color w:val="000000"/>
                <w:sz w:val="22"/>
                <w:szCs w:val="22"/>
              </w:rPr>
            </w:pPr>
            <w:r w:rsidRPr="00C96AA5">
              <w:rPr>
                <w:color w:val="000000"/>
                <w:sz w:val="22"/>
                <w:szCs w:val="22"/>
              </w:rPr>
              <w:t>0.52</w:t>
            </w:r>
          </w:p>
        </w:tc>
      </w:tr>
      <w:tr w:rsidR="00180692" w:rsidRPr="00C96AA5" w14:paraId="36A91B7B" w14:textId="77777777" w:rsidTr="00180692">
        <w:trPr>
          <w:trHeight w:val="288"/>
          <w:jc w:val="center"/>
        </w:trPr>
        <w:tc>
          <w:tcPr>
            <w:tcW w:w="1999" w:type="dxa"/>
            <w:vMerge/>
            <w:tcBorders>
              <w:top w:val="nil"/>
              <w:left w:val="nil"/>
              <w:bottom w:val="nil"/>
              <w:right w:val="nil"/>
            </w:tcBorders>
            <w:vAlign w:val="center"/>
            <w:hideMark/>
          </w:tcPr>
          <w:p w14:paraId="5FA909D3" w14:textId="77777777" w:rsidR="00C96AA5" w:rsidRPr="00C96AA5" w:rsidRDefault="00C96AA5" w:rsidP="00377A6F">
            <w:pPr>
              <w:rPr>
                <w:color w:val="000000"/>
                <w:sz w:val="22"/>
                <w:szCs w:val="22"/>
              </w:rPr>
            </w:pPr>
          </w:p>
        </w:tc>
        <w:tc>
          <w:tcPr>
            <w:tcW w:w="2111" w:type="dxa"/>
            <w:tcBorders>
              <w:top w:val="nil"/>
              <w:left w:val="nil"/>
              <w:bottom w:val="nil"/>
              <w:right w:val="nil"/>
            </w:tcBorders>
            <w:shd w:val="clear" w:color="000000" w:fill="FFFFFF"/>
            <w:noWrap/>
            <w:vAlign w:val="center"/>
            <w:hideMark/>
          </w:tcPr>
          <w:p w14:paraId="72EACA4D" w14:textId="77777777" w:rsidR="00C96AA5" w:rsidRPr="00C96AA5" w:rsidRDefault="00C96AA5" w:rsidP="00377A6F">
            <w:pPr>
              <w:jc w:val="center"/>
              <w:rPr>
                <w:color w:val="000000"/>
                <w:sz w:val="22"/>
                <w:szCs w:val="22"/>
              </w:rPr>
            </w:pPr>
            <w:r w:rsidRPr="00C96AA5">
              <w:rPr>
                <w:color w:val="000000"/>
                <w:sz w:val="22"/>
                <w:szCs w:val="22"/>
              </w:rPr>
              <w:t>Estimation Wording</w:t>
            </w:r>
          </w:p>
        </w:tc>
        <w:tc>
          <w:tcPr>
            <w:tcW w:w="1896" w:type="dxa"/>
            <w:tcBorders>
              <w:top w:val="nil"/>
              <w:left w:val="nil"/>
              <w:bottom w:val="nil"/>
              <w:right w:val="nil"/>
            </w:tcBorders>
            <w:shd w:val="clear" w:color="000000" w:fill="FFFFFF"/>
            <w:noWrap/>
            <w:vAlign w:val="center"/>
            <w:hideMark/>
          </w:tcPr>
          <w:p w14:paraId="345FE655" w14:textId="77777777" w:rsidR="00C96AA5" w:rsidRPr="00C96AA5" w:rsidRDefault="00C96AA5" w:rsidP="00377A6F">
            <w:pPr>
              <w:jc w:val="center"/>
              <w:rPr>
                <w:color w:val="000000"/>
                <w:sz w:val="22"/>
                <w:szCs w:val="22"/>
              </w:rPr>
            </w:pPr>
            <w:r w:rsidRPr="00C96AA5">
              <w:rPr>
                <w:color w:val="000000"/>
                <w:sz w:val="22"/>
                <w:szCs w:val="22"/>
              </w:rPr>
              <w:t>-0.01 (0.73)</w:t>
            </w:r>
          </w:p>
        </w:tc>
        <w:tc>
          <w:tcPr>
            <w:tcW w:w="1787" w:type="dxa"/>
            <w:tcBorders>
              <w:top w:val="nil"/>
              <w:left w:val="nil"/>
              <w:bottom w:val="nil"/>
              <w:right w:val="nil"/>
            </w:tcBorders>
            <w:shd w:val="clear" w:color="000000" w:fill="FFFFFF"/>
            <w:noWrap/>
            <w:vAlign w:val="center"/>
            <w:hideMark/>
          </w:tcPr>
          <w:p w14:paraId="5E14162E" w14:textId="77777777" w:rsidR="00C96AA5" w:rsidRPr="00C96AA5" w:rsidRDefault="00C96AA5" w:rsidP="00377A6F">
            <w:pPr>
              <w:jc w:val="center"/>
              <w:rPr>
                <w:color w:val="000000"/>
                <w:sz w:val="22"/>
                <w:szCs w:val="22"/>
              </w:rPr>
            </w:pPr>
            <w:r w:rsidRPr="00C96AA5">
              <w:rPr>
                <w:color w:val="000000"/>
                <w:sz w:val="22"/>
                <w:szCs w:val="22"/>
              </w:rPr>
              <w:t>0.04 (0.85)</w:t>
            </w:r>
          </w:p>
        </w:tc>
        <w:tc>
          <w:tcPr>
            <w:tcW w:w="1837" w:type="dxa"/>
            <w:tcBorders>
              <w:top w:val="nil"/>
              <w:left w:val="nil"/>
              <w:bottom w:val="nil"/>
              <w:right w:val="nil"/>
            </w:tcBorders>
            <w:shd w:val="clear" w:color="000000" w:fill="FFFFFF"/>
            <w:noWrap/>
            <w:vAlign w:val="center"/>
            <w:hideMark/>
          </w:tcPr>
          <w:p w14:paraId="43A3D19B" w14:textId="77777777" w:rsidR="00C96AA5" w:rsidRPr="00C96AA5" w:rsidRDefault="00C96AA5" w:rsidP="00377A6F">
            <w:pPr>
              <w:jc w:val="center"/>
              <w:rPr>
                <w:color w:val="000000"/>
                <w:sz w:val="22"/>
                <w:szCs w:val="22"/>
              </w:rPr>
            </w:pPr>
            <w:r w:rsidRPr="00C96AA5">
              <w:rPr>
                <w:color w:val="000000"/>
                <w:sz w:val="22"/>
                <w:szCs w:val="22"/>
              </w:rPr>
              <w:t>0.01 (0.77)</w:t>
            </w:r>
          </w:p>
        </w:tc>
        <w:tc>
          <w:tcPr>
            <w:tcW w:w="1418" w:type="dxa"/>
            <w:tcBorders>
              <w:top w:val="nil"/>
              <w:left w:val="nil"/>
              <w:bottom w:val="nil"/>
              <w:right w:val="nil"/>
            </w:tcBorders>
            <w:shd w:val="clear" w:color="000000" w:fill="FFFFFF"/>
            <w:noWrap/>
            <w:vAlign w:val="center"/>
            <w:hideMark/>
          </w:tcPr>
          <w:p w14:paraId="7EACFA8D" w14:textId="77777777" w:rsidR="00C96AA5" w:rsidRPr="00C96AA5" w:rsidRDefault="00C96AA5" w:rsidP="00377A6F">
            <w:pPr>
              <w:jc w:val="center"/>
              <w:rPr>
                <w:color w:val="000000"/>
                <w:sz w:val="22"/>
                <w:szCs w:val="22"/>
              </w:rPr>
            </w:pPr>
            <w:r w:rsidRPr="00C96AA5">
              <w:rPr>
                <w:color w:val="000000"/>
                <w:sz w:val="22"/>
                <w:szCs w:val="22"/>
              </w:rPr>
              <w:t>0.01</w:t>
            </w:r>
          </w:p>
        </w:tc>
      </w:tr>
      <w:tr w:rsidR="00180692" w:rsidRPr="00C96AA5" w14:paraId="1953087B" w14:textId="77777777" w:rsidTr="00180692">
        <w:trPr>
          <w:trHeight w:val="288"/>
          <w:jc w:val="center"/>
        </w:trPr>
        <w:tc>
          <w:tcPr>
            <w:tcW w:w="1999" w:type="dxa"/>
            <w:vMerge w:val="restart"/>
            <w:tcBorders>
              <w:top w:val="nil"/>
              <w:left w:val="nil"/>
              <w:bottom w:val="single" w:sz="4" w:space="0" w:color="000000"/>
              <w:right w:val="nil"/>
            </w:tcBorders>
            <w:shd w:val="clear" w:color="000000" w:fill="F2F2F2"/>
            <w:noWrap/>
            <w:vAlign w:val="center"/>
            <w:hideMark/>
          </w:tcPr>
          <w:p w14:paraId="33057D38" w14:textId="77777777" w:rsidR="00180692" w:rsidRPr="00180692" w:rsidRDefault="00C96AA5" w:rsidP="00377A6F">
            <w:pPr>
              <w:jc w:val="center"/>
              <w:rPr>
                <w:color w:val="000000"/>
                <w:sz w:val="22"/>
                <w:szCs w:val="22"/>
              </w:rPr>
            </w:pPr>
            <w:r w:rsidRPr="00C96AA5">
              <w:rPr>
                <w:color w:val="000000"/>
                <w:sz w:val="22"/>
                <w:szCs w:val="22"/>
              </w:rPr>
              <w:t xml:space="preserve">Scenario 3 </w:t>
            </w:r>
          </w:p>
          <w:p w14:paraId="10901F3E" w14:textId="32564799" w:rsidR="00C96AA5" w:rsidRPr="00C96AA5" w:rsidRDefault="00C96AA5" w:rsidP="00377A6F">
            <w:pPr>
              <w:jc w:val="center"/>
              <w:rPr>
                <w:color w:val="000000"/>
                <w:sz w:val="22"/>
                <w:szCs w:val="22"/>
              </w:rPr>
            </w:pPr>
            <w:r w:rsidRPr="00C96AA5">
              <w:rPr>
                <w:color w:val="000000"/>
                <w:sz w:val="22"/>
                <w:szCs w:val="22"/>
              </w:rPr>
              <w:t>(Investment)</w:t>
            </w:r>
          </w:p>
        </w:tc>
        <w:tc>
          <w:tcPr>
            <w:tcW w:w="2111" w:type="dxa"/>
            <w:tcBorders>
              <w:top w:val="nil"/>
              <w:left w:val="nil"/>
              <w:right w:val="nil"/>
            </w:tcBorders>
            <w:shd w:val="clear" w:color="000000" w:fill="F2F2F2"/>
            <w:noWrap/>
            <w:vAlign w:val="center"/>
            <w:hideMark/>
          </w:tcPr>
          <w:p w14:paraId="040B5409" w14:textId="77777777" w:rsidR="00C96AA5" w:rsidRPr="00C96AA5" w:rsidRDefault="00C96AA5" w:rsidP="00377A6F">
            <w:pPr>
              <w:jc w:val="center"/>
              <w:rPr>
                <w:color w:val="000000"/>
                <w:sz w:val="22"/>
                <w:szCs w:val="22"/>
              </w:rPr>
            </w:pPr>
            <w:r w:rsidRPr="00C96AA5">
              <w:rPr>
                <w:color w:val="000000"/>
                <w:sz w:val="22"/>
                <w:szCs w:val="22"/>
              </w:rPr>
              <w:t>Feeling Wording</w:t>
            </w:r>
          </w:p>
        </w:tc>
        <w:tc>
          <w:tcPr>
            <w:tcW w:w="1896" w:type="dxa"/>
            <w:tcBorders>
              <w:top w:val="nil"/>
              <w:left w:val="nil"/>
              <w:bottom w:val="nil"/>
              <w:right w:val="nil"/>
            </w:tcBorders>
            <w:shd w:val="clear" w:color="000000" w:fill="F2F2F2"/>
            <w:noWrap/>
            <w:vAlign w:val="center"/>
            <w:hideMark/>
          </w:tcPr>
          <w:p w14:paraId="41A38DD3" w14:textId="77777777" w:rsidR="00C96AA5" w:rsidRPr="00C96AA5" w:rsidRDefault="00C96AA5" w:rsidP="00377A6F">
            <w:pPr>
              <w:jc w:val="center"/>
              <w:rPr>
                <w:color w:val="000000"/>
                <w:sz w:val="22"/>
                <w:szCs w:val="22"/>
              </w:rPr>
            </w:pPr>
            <w:r w:rsidRPr="00C96AA5">
              <w:rPr>
                <w:color w:val="000000"/>
                <w:sz w:val="22"/>
                <w:szCs w:val="22"/>
              </w:rPr>
              <w:t>0.17 (0.87)</w:t>
            </w:r>
          </w:p>
        </w:tc>
        <w:tc>
          <w:tcPr>
            <w:tcW w:w="1787" w:type="dxa"/>
            <w:tcBorders>
              <w:top w:val="nil"/>
              <w:left w:val="nil"/>
              <w:bottom w:val="nil"/>
              <w:right w:val="nil"/>
            </w:tcBorders>
            <w:shd w:val="clear" w:color="000000" w:fill="F2F2F2"/>
            <w:noWrap/>
            <w:vAlign w:val="center"/>
            <w:hideMark/>
          </w:tcPr>
          <w:p w14:paraId="3A84A61A" w14:textId="77777777" w:rsidR="00C96AA5" w:rsidRPr="00C96AA5" w:rsidRDefault="00C96AA5" w:rsidP="00377A6F">
            <w:pPr>
              <w:jc w:val="center"/>
              <w:rPr>
                <w:color w:val="000000"/>
                <w:sz w:val="22"/>
                <w:szCs w:val="22"/>
              </w:rPr>
            </w:pPr>
            <w:r w:rsidRPr="00C96AA5">
              <w:rPr>
                <w:color w:val="000000"/>
                <w:sz w:val="22"/>
                <w:szCs w:val="22"/>
              </w:rPr>
              <w:t>0.40 (0.94)</w:t>
            </w:r>
          </w:p>
        </w:tc>
        <w:tc>
          <w:tcPr>
            <w:tcW w:w="1837" w:type="dxa"/>
            <w:tcBorders>
              <w:top w:val="nil"/>
              <w:left w:val="nil"/>
              <w:bottom w:val="nil"/>
              <w:right w:val="nil"/>
            </w:tcBorders>
            <w:shd w:val="clear" w:color="000000" w:fill="F2F2F2"/>
            <w:noWrap/>
            <w:vAlign w:val="center"/>
            <w:hideMark/>
          </w:tcPr>
          <w:p w14:paraId="0DE5141B" w14:textId="77777777" w:rsidR="00C96AA5" w:rsidRPr="00C96AA5" w:rsidRDefault="00C96AA5" w:rsidP="00377A6F">
            <w:pPr>
              <w:jc w:val="center"/>
              <w:rPr>
                <w:color w:val="000000"/>
                <w:sz w:val="22"/>
                <w:szCs w:val="22"/>
              </w:rPr>
            </w:pPr>
            <w:r w:rsidRPr="00C96AA5">
              <w:rPr>
                <w:color w:val="000000"/>
                <w:sz w:val="22"/>
                <w:szCs w:val="22"/>
              </w:rPr>
              <w:t>0.26 (0.77)</w:t>
            </w:r>
          </w:p>
        </w:tc>
        <w:tc>
          <w:tcPr>
            <w:tcW w:w="1418" w:type="dxa"/>
            <w:tcBorders>
              <w:top w:val="nil"/>
              <w:left w:val="nil"/>
              <w:bottom w:val="nil"/>
              <w:right w:val="nil"/>
            </w:tcBorders>
            <w:shd w:val="clear" w:color="000000" w:fill="F2F2F2"/>
            <w:noWrap/>
            <w:vAlign w:val="center"/>
            <w:hideMark/>
          </w:tcPr>
          <w:p w14:paraId="28410F6D" w14:textId="77777777" w:rsidR="00C96AA5" w:rsidRPr="00C96AA5" w:rsidRDefault="00C96AA5" w:rsidP="00377A6F">
            <w:pPr>
              <w:jc w:val="center"/>
              <w:rPr>
                <w:color w:val="000000"/>
                <w:sz w:val="22"/>
                <w:szCs w:val="22"/>
              </w:rPr>
            </w:pPr>
            <w:r w:rsidRPr="00C96AA5">
              <w:rPr>
                <w:color w:val="000000"/>
                <w:sz w:val="22"/>
                <w:szCs w:val="22"/>
              </w:rPr>
              <w:t>0.28</w:t>
            </w:r>
          </w:p>
        </w:tc>
      </w:tr>
      <w:tr w:rsidR="00180692" w:rsidRPr="00C96AA5" w14:paraId="098E920E" w14:textId="77777777" w:rsidTr="00180692">
        <w:trPr>
          <w:trHeight w:val="288"/>
          <w:jc w:val="center"/>
        </w:trPr>
        <w:tc>
          <w:tcPr>
            <w:tcW w:w="1999" w:type="dxa"/>
            <w:vMerge/>
            <w:tcBorders>
              <w:top w:val="nil"/>
              <w:left w:val="nil"/>
              <w:bottom w:val="single" w:sz="4" w:space="0" w:color="000000"/>
              <w:right w:val="nil"/>
            </w:tcBorders>
            <w:vAlign w:val="center"/>
            <w:hideMark/>
          </w:tcPr>
          <w:p w14:paraId="217914E0" w14:textId="77777777" w:rsidR="00C96AA5" w:rsidRPr="00C96AA5" w:rsidRDefault="00C96AA5" w:rsidP="00377A6F">
            <w:pPr>
              <w:rPr>
                <w:color w:val="000000"/>
              </w:rPr>
            </w:pPr>
          </w:p>
        </w:tc>
        <w:tc>
          <w:tcPr>
            <w:tcW w:w="2111" w:type="dxa"/>
            <w:tcBorders>
              <w:top w:val="nil"/>
              <w:left w:val="nil"/>
              <w:bottom w:val="single" w:sz="4" w:space="0" w:color="auto"/>
              <w:right w:val="nil"/>
            </w:tcBorders>
            <w:shd w:val="clear" w:color="000000" w:fill="F2F2F2"/>
            <w:noWrap/>
            <w:vAlign w:val="center"/>
            <w:hideMark/>
          </w:tcPr>
          <w:p w14:paraId="3D22A613" w14:textId="77777777" w:rsidR="00C96AA5" w:rsidRPr="00C96AA5" w:rsidRDefault="00C96AA5" w:rsidP="00377A6F">
            <w:pPr>
              <w:jc w:val="center"/>
              <w:rPr>
                <w:color w:val="000000"/>
                <w:sz w:val="22"/>
                <w:szCs w:val="22"/>
              </w:rPr>
            </w:pPr>
            <w:r w:rsidRPr="00C96AA5">
              <w:rPr>
                <w:color w:val="000000"/>
                <w:sz w:val="22"/>
                <w:szCs w:val="22"/>
              </w:rPr>
              <w:t>Estimation Wording</w:t>
            </w:r>
          </w:p>
        </w:tc>
        <w:tc>
          <w:tcPr>
            <w:tcW w:w="1896" w:type="dxa"/>
            <w:tcBorders>
              <w:top w:val="nil"/>
              <w:left w:val="nil"/>
              <w:bottom w:val="single" w:sz="4" w:space="0" w:color="auto"/>
              <w:right w:val="nil"/>
            </w:tcBorders>
            <w:shd w:val="clear" w:color="000000" w:fill="F2F2F2"/>
            <w:noWrap/>
            <w:vAlign w:val="center"/>
            <w:hideMark/>
          </w:tcPr>
          <w:p w14:paraId="7549F26D" w14:textId="77777777" w:rsidR="00C96AA5" w:rsidRPr="00C96AA5" w:rsidRDefault="00C96AA5" w:rsidP="00377A6F">
            <w:pPr>
              <w:jc w:val="center"/>
              <w:rPr>
                <w:color w:val="000000"/>
                <w:sz w:val="22"/>
                <w:szCs w:val="22"/>
              </w:rPr>
            </w:pPr>
            <w:r w:rsidRPr="00C96AA5">
              <w:rPr>
                <w:color w:val="000000"/>
                <w:sz w:val="22"/>
                <w:szCs w:val="22"/>
              </w:rPr>
              <w:t>-0.44 (0.81)</w:t>
            </w:r>
          </w:p>
        </w:tc>
        <w:tc>
          <w:tcPr>
            <w:tcW w:w="1787" w:type="dxa"/>
            <w:tcBorders>
              <w:top w:val="nil"/>
              <w:left w:val="nil"/>
              <w:bottom w:val="single" w:sz="4" w:space="0" w:color="auto"/>
              <w:right w:val="nil"/>
            </w:tcBorders>
            <w:shd w:val="clear" w:color="000000" w:fill="F2F2F2"/>
            <w:noWrap/>
            <w:vAlign w:val="center"/>
            <w:hideMark/>
          </w:tcPr>
          <w:p w14:paraId="30E64366" w14:textId="77777777" w:rsidR="00C96AA5" w:rsidRPr="00C96AA5" w:rsidRDefault="00C96AA5" w:rsidP="00377A6F">
            <w:pPr>
              <w:jc w:val="center"/>
              <w:rPr>
                <w:color w:val="000000"/>
                <w:sz w:val="22"/>
                <w:szCs w:val="22"/>
              </w:rPr>
            </w:pPr>
            <w:r w:rsidRPr="00C96AA5">
              <w:rPr>
                <w:color w:val="000000"/>
                <w:sz w:val="22"/>
                <w:szCs w:val="22"/>
              </w:rPr>
              <w:t>-0.40 (0.75)</w:t>
            </w:r>
          </w:p>
        </w:tc>
        <w:tc>
          <w:tcPr>
            <w:tcW w:w="1837" w:type="dxa"/>
            <w:tcBorders>
              <w:top w:val="nil"/>
              <w:left w:val="nil"/>
              <w:bottom w:val="single" w:sz="4" w:space="0" w:color="auto"/>
              <w:right w:val="nil"/>
            </w:tcBorders>
            <w:shd w:val="clear" w:color="000000" w:fill="F2F2F2"/>
            <w:noWrap/>
            <w:vAlign w:val="center"/>
            <w:hideMark/>
          </w:tcPr>
          <w:p w14:paraId="0CB46704" w14:textId="77777777" w:rsidR="00C96AA5" w:rsidRPr="00C96AA5" w:rsidRDefault="00C96AA5" w:rsidP="00377A6F">
            <w:pPr>
              <w:jc w:val="center"/>
              <w:rPr>
                <w:color w:val="000000"/>
                <w:sz w:val="22"/>
                <w:szCs w:val="22"/>
              </w:rPr>
            </w:pPr>
            <w:r w:rsidRPr="00C96AA5">
              <w:rPr>
                <w:color w:val="000000"/>
                <w:sz w:val="22"/>
                <w:szCs w:val="22"/>
              </w:rPr>
              <w:t>-0.21 (0.85)</w:t>
            </w:r>
          </w:p>
        </w:tc>
        <w:tc>
          <w:tcPr>
            <w:tcW w:w="1418" w:type="dxa"/>
            <w:tcBorders>
              <w:top w:val="nil"/>
              <w:left w:val="nil"/>
              <w:bottom w:val="single" w:sz="4" w:space="0" w:color="auto"/>
              <w:right w:val="nil"/>
            </w:tcBorders>
            <w:shd w:val="clear" w:color="000000" w:fill="F2F2F2"/>
            <w:noWrap/>
            <w:vAlign w:val="center"/>
            <w:hideMark/>
          </w:tcPr>
          <w:p w14:paraId="7FE0B873" w14:textId="77777777" w:rsidR="00C96AA5" w:rsidRPr="00C96AA5" w:rsidRDefault="00C96AA5" w:rsidP="00377A6F">
            <w:pPr>
              <w:jc w:val="center"/>
              <w:rPr>
                <w:color w:val="000000"/>
                <w:sz w:val="22"/>
                <w:szCs w:val="22"/>
              </w:rPr>
            </w:pPr>
            <w:r w:rsidRPr="00C96AA5">
              <w:rPr>
                <w:color w:val="000000"/>
                <w:sz w:val="22"/>
                <w:szCs w:val="22"/>
              </w:rPr>
              <w:t>-0.35</w:t>
            </w:r>
          </w:p>
        </w:tc>
      </w:tr>
      <w:tr w:rsidR="00C96AA5" w:rsidRPr="00C96AA5" w14:paraId="259B92C8" w14:textId="77777777" w:rsidTr="00180692">
        <w:trPr>
          <w:trHeight w:val="389"/>
          <w:jc w:val="center"/>
        </w:trPr>
        <w:tc>
          <w:tcPr>
            <w:tcW w:w="11048" w:type="dxa"/>
            <w:gridSpan w:val="6"/>
            <w:vMerge w:val="restart"/>
            <w:tcBorders>
              <w:top w:val="single" w:sz="4" w:space="0" w:color="auto"/>
              <w:left w:val="nil"/>
              <w:bottom w:val="nil"/>
              <w:right w:val="nil"/>
            </w:tcBorders>
            <w:shd w:val="clear" w:color="000000" w:fill="FFFFFF"/>
            <w:vAlign w:val="bottom"/>
            <w:hideMark/>
          </w:tcPr>
          <w:p w14:paraId="3D85D49D" w14:textId="7D0932C1" w:rsidR="00C96AA5" w:rsidRPr="00C96AA5" w:rsidRDefault="00C96AA5" w:rsidP="00377A6F">
            <w:pPr>
              <w:rPr>
                <w:color w:val="000000"/>
                <w:sz w:val="20"/>
                <w:szCs w:val="20"/>
              </w:rPr>
            </w:pPr>
            <w:r w:rsidRPr="00C96AA5">
              <w:rPr>
                <w:i/>
                <w:iCs/>
                <w:color w:val="000000"/>
                <w:sz w:val="20"/>
                <w:szCs w:val="20"/>
              </w:rPr>
              <w:t xml:space="preserve">Note. </w:t>
            </w:r>
            <w:r w:rsidR="001C6BC7" w:rsidRPr="00C96AA5">
              <w:rPr>
                <w:color w:val="000000"/>
                <w:sz w:val="20"/>
                <w:szCs w:val="20"/>
              </w:rPr>
              <w:t>Parenthetical</w:t>
            </w:r>
            <w:r w:rsidRPr="00C96AA5">
              <w:rPr>
                <w:color w:val="000000"/>
                <w:sz w:val="20"/>
                <w:szCs w:val="20"/>
              </w:rPr>
              <w:t xml:space="preserve"> numbers re</w:t>
            </w:r>
            <w:r w:rsidR="001C6BC7">
              <w:rPr>
                <w:color w:val="000000"/>
                <w:sz w:val="20"/>
                <w:szCs w:val="20"/>
              </w:rPr>
              <w:t>f</w:t>
            </w:r>
            <w:r w:rsidRPr="00C96AA5">
              <w:rPr>
                <w:color w:val="000000"/>
                <w:sz w:val="20"/>
                <w:szCs w:val="20"/>
              </w:rPr>
              <w:t xml:space="preserve">lect standard deviations. The Feeling wording prescription went from -2 (Extremely pessimistic) to +2 (Extremely optimistic), with the midpoint labeled as "Accurate". The Estimation wording prescription scale went from -2 (Greatly underestimate) to +2 (Greatly overestimate), with the midpoint labeled as "Accurately estimate". </w:t>
            </w:r>
          </w:p>
        </w:tc>
      </w:tr>
      <w:tr w:rsidR="00C96AA5" w:rsidRPr="00C96AA5" w14:paraId="27528CC0" w14:textId="77777777" w:rsidTr="00180692">
        <w:trPr>
          <w:trHeight w:val="276"/>
          <w:jc w:val="center"/>
        </w:trPr>
        <w:tc>
          <w:tcPr>
            <w:tcW w:w="11048" w:type="dxa"/>
            <w:gridSpan w:val="6"/>
            <w:vMerge/>
            <w:tcBorders>
              <w:top w:val="single" w:sz="4" w:space="0" w:color="auto"/>
              <w:left w:val="nil"/>
              <w:bottom w:val="nil"/>
              <w:right w:val="nil"/>
            </w:tcBorders>
            <w:vAlign w:val="center"/>
            <w:hideMark/>
          </w:tcPr>
          <w:p w14:paraId="5C5AC724" w14:textId="77777777" w:rsidR="00C96AA5" w:rsidRPr="00C96AA5" w:rsidRDefault="00C96AA5" w:rsidP="00377A6F">
            <w:pPr>
              <w:rPr>
                <w:color w:val="000000"/>
                <w:sz w:val="22"/>
                <w:szCs w:val="22"/>
              </w:rPr>
            </w:pPr>
          </w:p>
        </w:tc>
      </w:tr>
    </w:tbl>
    <w:p w14:paraId="5816CC51" w14:textId="77777777" w:rsidR="00377A6F" w:rsidRDefault="00377A6F" w:rsidP="002936DE">
      <w:pPr>
        <w:spacing w:line="480" w:lineRule="auto"/>
        <w:jc w:val="center"/>
        <w:rPr>
          <w:b/>
          <w:bCs/>
        </w:rPr>
      </w:pPr>
    </w:p>
    <w:p w14:paraId="30D6121D" w14:textId="1568D0A0" w:rsidR="00ED191D" w:rsidRDefault="00ED191D" w:rsidP="002936DE">
      <w:pPr>
        <w:spacing w:line="480" w:lineRule="auto"/>
        <w:jc w:val="center"/>
        <w:rPr>
          <w:b/>
          <w:bCs/>
        </w:rPr>
      </w:pPr>
    </w:p>
    <w:p w14:paraId="7538BEA2" w14:textId="72EDB927" w:rsidR="00AE1189" w:rsidRPr="00ED191D" w:rsidRDefault="002F7C84" w:rsidP="00ED191D">
      <w:pPr>
        <w:spacing w:line="480" w:lineRule="auto"/>
        <w:jc w:val="center"/>
        <w:rPr>
          <w:b/>
          <w:bCs/>
        </w:rPr>
      </w:pPr>
      <w:r w:rsidRPr="002F7C84">
        <w:rPr>
          <w:b/>
          <w:bCs/>
        </w:rPr>
        <w:t>General Discussion</w:t>
      </w:r>
    </w:p>
    <w:p w14:paraId="687EC475" w14:textId="77777777" w:rsidR="00AE1189" w:rsidRDefault="00AE1189" w:rsidP="00AE1189">
      <w:pPr>
        <w:spacing w:line="480" w:lineRule="auto"/>
        <w:ind w:firstLine="720"/>
      </w:pPr>
      <w:r>
        <w:lastRenderedPageBreak/>
        <w:t xml:space="preserve">Although the findings from Armor et al. (2008) are commonly interpreted as showing that people think it is better to be optimistic than accurate or </w:t>
      </w:r>
      <w:r w:rsidRPr="006B69FD">
        <w:t>pessimistic</w:t>
      </w:r>
      <w:r>
        <w:t>, the present findings offer a crucial clarification and extension. In</w:t>
      </w:r>
      <w:r>
        <w:rPr>
          <w:color w:val="000000" w:themeColor="text1"/>
        </w:rPr>
        <w:t xml:space="preserve"> Study 1, we replicated the prescribed-optimism findings with the original prescription questions from Armor et al (2008). However, </w:t>
      </w:r>
      <w:r>
        <w:t xml:space="preserve">a different question wording produced quite different results—people prescribed underestimating the likelihood of the outcomes. </w:t>
      </w:r>
    </w:p>
    <w:p w14:paraId="17E38843" w14:textId="595406EE" w:rsidR="008F2EE0" w:rsidRDefault="00AE1189" w:rsidP="009B14C3">
      <w:pPr>
        <w:spacing w:line="480" w:lineRule="auto"/>
        <w:ind w:firstLine="720"/>
      </w:pPr>
      <w:r>
        <w:t>Studies 2 and 3 teased out which of three wording differences accounted for the dramatic change in results. An emphasis on feeling versus thinking didn’t account for the change, nor did removing potentially biasing words. Instead, the change was attributable to a switch from asking about optimism/pessimism to asking about likelihood estimations.</w:t>
      </w:r>
      <w:r w:rsidR="008F2EE0">
        <w:t xml:space="preserve"> This is </w:t>
      </w:r>
      <w:r w:rsidR="006610FE">
        <w:t>broadly</w:t>
      </w:r>
      <w:r w:rsidR="008F2EE0">
        <w:t xml:space="preserve"> consistent with our notion that the term optimism holds many potential meanings, some of which are viewed favorably and might make prescription</w:t>
      </w:r>
      <w:r w:rsidR="00A260CC">
        <w:t>s</w:t>
      </w:r>
      <w:r w:rsidR="008F2EE0">
        <w:t xml:space="preserve"> of optimism generally appealing.</w:t>
      </w:r>
    </w:p>
    <w:p w14:paraId="251B99CF" w14:textId="56521326" w:rsidR="00320BA0" w:rsidRDefault="00AE1189" w:rsidP="00CC2920">
      <w:pPr>
        <w:spacing w:line="480" w:lineRule="auto"/>
        <w:ind w:firstLine="720"/>
      </w:pPr>
      <w:r>
        <w:t xml:space="preserve">These findings reveal that even as people generally prescribe being optimistic, feeling optimistic, or even thinking optimistically, they don’t generally prescribe overestimating the likelihood of desirable outcomes. </w:t>
      </w:r>
      <w:r w:rsidR="00C901DF">
        <w:t>D</w:t>
      </w:r>
      <w:r w:rsidR="009B14C3">
        <w:t xml:space="preserve">oes this mean that people prescribe </w:t>
      </w:r>
      <w:r w:rsidR="009B14C3" w:rsidRPr="00D80DF6">
        <w:rPr>
          <w:i/>
          <w:iCs/>
        </w:rPr>
        <w:t>overoptimism</w:t>
      </w:r>
      <w:r w:rsidR="009B14C3">
        <w:t xml:space="preserve">? </w:t>
      </w:r>
      <w:r w:rsidR="00C901DF">
        <w:t>By overoptimism, we mean prescribing a level of optimism that is greater than what objective standards warrant (</w:t>
      </w:r>
      <w:proofErr w:type="spellStart"/>
      <w:r w:rsidR="00C901DF">
        <w:t>Windschitl</w:t>
      </w:r>
      <w:proofErr w:type="spellEnd"/>
      <w:r w:rsidR="00C901DF">
        <w:t xml:space="preserve"> &amp; Stuart, 2015).  The </w:t>
      </w:r>
      <w:r w:rsidR="00C901DF" w:rsidRPr="00A260CC">
        <w:t>answer</w:t>
      </w:r>
      <w:r w:rsidR="00C901DF">
        <w:t xml:space="preserve"> </w:t>
      </w:r>
      <w:r w:rsidR="00320BA0">
        <w:t>might be</w:t>
      </w:r>
      <w:r w:rsidR="00C901DF">
        <w:t xml:space="preserve"> both </w:t>
      </w:r>
      <w:r w:rsidR="00C901DF" w:rsidRPr="00D80DF6">
        <w:rPr>
          <w:i/>
          <w:iCs/>
        </w:rPr>
        <w:t>yes</w:t>
      </w:r>
      <w:r w:rsidR="00C901DF">
        <w:t xml:space="preserve"> and </w:t>
      </w:r>
      <w:r w:rsidR="00C901DF" w:rsidRPr="00D80DF6">
        <w:rPr>
          <w:i/>
          <w:iCs/>
        </w:rPr>
        <w:t>no</w:t>
      </w:r>
      <w:r w:rsidR="00C901DF">
        <w:t xml:space="preserve">.  When people are asked </w:t>
      </w:r>
      <w:r w:rsidR="00CC2920">
        <w:t xml:space="preserve">for prescriptions </w:t>
      </w:r>
      <w:r w:rsidR="00C901DF">
        <w:t xml:space="preserve">using the familiar language of pessimism, accuracy, and optimism—which is </w:t>
      </w:r>
      <w:r w:rsidR="00CC2920">
        <w:t xml:space="preserve">the original language from </w:t>
      </w:r>
      <w:r w:rsidR="00C901DF">
        <w:t>Armor et al. (200</w:t>
      </w:r>
      <w:r w:rsidR="00CC2920">
        <w:t>8)—the fact that people tended to pick a response that was above “accurate” arguably fits the definition of overoptimism.  Yet, when asked for prescriptions in reference to the likelihood estimation</w:t>
      </w:r>
      <w:r w:rsidR="00320BA0">
        <w:t>, the result</w:t>
      </w:r>
      <w:r w:rsidR="00BF6EE1">
        <w:t>s</w:t>
      </w:r>
      <w:r w:rsidR="00320BA0">
        <w:t xml:space="preserve"> do not suggest people endorse overoptimism. </w:t>
      </w:r>
    </w:p>
    <w:p w14:paraId="42656C03" w14:textId="596557ED" w:rsidR="00D8216E" w:rsidRDefault="00AE1189" w:rsidP="00AE1189">
      <w:pPr>
        <w:spacing w:line="480" w:lineRule="auto"/>
      </w:pPr>
      <w:r>
        <w:lastRenderedPageBreak/>
        <w:tab/>
        <w:t>This is not a trivial clarification. Prescribing optimis</w:t>
      </w:r>
      <w:r w:rsidR="00D8216E">
        <w:t xml:space="preserve">m </w:t>
      </w:r>
      <w:r>
        <w:t>does not necessarily suggest an endorsement of self-deception or wishful</w:t>
      </w:r>
      <w:r w:rsidR="00D8216E">
        <w:t xml:space="preserve"> </w:t>
      </w:r>
      <w:r>
        <w:t xml:space="preserve">thinking, but prescribing </w:t>
      </w:r>
      <w:r w:rsidR="00D8216E">
        <w:t xml:space="preserve">overoptimism—whether by favoring optimism over accuracy or by favoring an </w:t>
      </w:r>
      <w:r>
        <w:t>overestimat</w:t>
      </w:r>
      <w:r w:rsidR="00D8216E">
        <w:t xml:space="preserve">ion of the </w:t>
      </w:r>
      <w:r>
        <w:t>likelihood of a desired event</w:t>
      </w:r>
      <w:r w:rsidR="00D8216E">
        <w:t>—</w:t>
      </w:r>
      <w:r>
        <w:t xml:space="preserve">seems almost tantamount to </w:t>
      </w:r>
      <w:r w:rsidRPr="00AE043A">
        <w:t>such endorsements (</w:t>
      </w:r>
      <w:r w:rsidRPr="004D00D7">
        <w:t xml:space="preserve">Von Hippel &amp; </w:t>
      </w:r>
      <w:proofErr w:type="spellStart"/>
      <w:r w:rsidRPr="004D00D7">
        <w:t>Trivers</w:t>
      </w:r>
      <w:proofErr w:type="spellEnd"/>
      <w:r w:rsidRPr="004D00D7">
        <w:t xml:space="preserve">, 2011; </w:t>
      </w:r>
      <w:proofErr w:type="spellStart"/>
      <w:r w:rsidRPr="004D00D7">
        <w:t>Windschitl</w:t>
      </w:r>
      <w:proofErr w:type="spellEnd"/>
      <w:r w:rsidRPr="004D00D7">
        <w:t xml:space="preserve">, Smith, Rose, &amp; </w:t>
      </w:r>
      <w:proofErr w:type="spellStart"/>
      <w:r w:rsidRPr="004D00D7">
        <w:t>Krizan</w:t>
      </w:r>
      <w:proofErr w:type="spellEnd"/>
      <w:r w:rsidRPr="004D00D7">
        <w:t>, 2010</w:t>
      </w:r>
      <w:r w:rsidRPr="00AE043A">
        <w:t xml:space="preserve">). </w:t>
      </w:r>
    </w:p>
    <w:p w14:paraId="58D11E46" w14:textId="42236F1C" w:rsidR="00AE1189" w:rsidRDefault="00AE1189" w:rsidP="00D80DF6">
      <w:pPr>
        <w:spacing w:line="480" w:lineRule="auto"/>
        <w:ind w:firstLine="720"/>
      </w:pPr>
      <w:r w:rsidRPr="008E691A">
        <w:t xml:space="preserve">Curiously, </w:t>
      </w:r>
      <w:r w:rsidR="006610FE">
        <w:t xml:space="preserve">participants’ </w:t>
      </w:r>
      <w:r w:rsidRPr="008E691A">
        <w:t xml:space="preserve">prescriptions about likelihood estimates </w:t>
      </w:r>
      <w:r w:rsidR="006610FE">
        <w:t xml:space="preserve">in our studies </w:t>
      </w:r>
      <w:r w:rsidRPr="008E691A">
        <w:t>were not balanced on “accurately estimate</w:t>
      </w:r>
      <w:r w:rsidR="00172117" w:rsidRPr="00BE5A07">
        <w:t>”</w:t>
      </w:r>
      <w:r w:rsidR="00172117">
        <w:t>—</w:t>
      </w:r>
      <w:r w:rsidRPr="00BE5A07">
        <w:t>they were significantly below the midpoint of the scale (Studies 1 and 3).</w:t>
      </w:r>
      <w:r w:rsidR="0061517B">
        <w:t xml:space="preserve"> This could also be considered a form of self-deception, just in a cautious direction. A full explication of why people would endorse this </w:t>
      </w:r>
      <w:r w:rsidR="00BC0F47">
        <w:t>pessimistic position</w:t>
      </w:r>
      <w:r w:rsidR="0061517B">
        <w:t xml:space="preserve"> (even when they would favor “optimism” on a pessimism-accuracy-optimism scale) is beyond the scope of this paper, but it could be that participants </w:t>
      </w:r>
      <w:r>
        <w:t xml:space="preserve">recognized that the protagonists of each scenario had little-to-no control over the outcome, thus reducing optimistic outlooks (e.g., Shepperd, </w:t>
      </w:r>
      <w:proofErr w:type="spellStart"/>
      <w:r>
        <w:t>Falkenstein</w:t>
      </w:r>
      <w:proofErr w:type="spellEnd"/>
      <w:r>
        <w:t xml:space="preserve">, &amp; Sweeny, 2020). This might reflect that people perceive benefits to being defensively pessimistic and/or bracing (Carroll et al., 2006; </w:t>
      </w:r>
      <w:proofErr w:type="spellStart"/>
      <w:r>
        <w:t>Norem</w:t>
      </w:r>
      <w:proofErr w:type="spellEnd"/>
      <w:r>
        <w:t xml:space="preserve"> &amp; Cantor, 1986; see also Weber, 1994).  Future research could further explore these connections by using scenarios that manipulated how much control the protagonist has over th</w:t>
      </w:r>
      <w:r w:rsidR="0007101B">
        <w:t>e outcome.</w:t>
      </w:r>
    </w:p>
    <w:p w14:paraId="6C64BFA1" w14:textId="583093D6" w:rsidR="00AE1189" w:rsidRDefault="00AE1189" w:rsidP="00AE1189">
      <w:pPr>
        <w:spacing w:line="480" w:lineRule="auto"/>
      </w:pPr>
      <w:r>
        <w:tab/>
      </w:r>
      <w:r w:rsidR="00184197">
        <w:t>Future research could also delve further into the generalizability of our findings.</w:t>
      </w:r>
      <w:r w:rsidR="00416553">
        <w:t xml:space="preserve"> </w:t>
      </w:r>
      <w:r>
        <w:t xml:space="preserve">Although optimism is </w:t>
      </w:r>
      <w:r w:rsidR="00184197">
        <w:t xml:space="preserve">sometimes said </w:t>
      </w:r>
      <w:r>
        <w:t xml:space="preserve">to be a universal feature of human cognition (Fischer &amp; Chalmers, 2008; </w:t>
      </w:r>
      <w:proofErr w:type="spellStart"/>
      <w:r>
        <w:t>Sharot</w:t>
      </w:r>
      <w:proofErr w:type="spellEnd"/>
      <w:r>
        <w:t xml:space="preserve">, Korn, &amp; Dolan, 2011), </w:t>
      </w:r>
      <w:r w:rsidR="00184197">
        <w:t>t</w:t>
      </w:r>
      <w:r>
        <w:t xml:space="preserve">here is evidence for differences across Eastern and Western cultures in the prevalence and degree of optimism (Chang &amp; Asakawa, 2003; Heine &amp; </w:t>
      </w:r>
      <w:proofErr w:type="spellStart"/>
      <w:r>
        <w:t>Hamamura</w:t>
      </w:r>
      <w:proofErr w:type="spellEnd"/>
      <w:r>
        <w:t xml:space="preserve">, 2007; Rose, Endo, </w:t>
      </w:r>
      <w:proofErr w:type="spellStart"/>
      <w:r>
        <w:t>Windschitl</w:t>
      </w:r>
      <w:proofErr w:type="spellEnd"/>
      <w:r>
        <w:t xml:space="preserve">, &amp; </w:t>
      </w:r>
      <w:proofErr w:type="spellStart"/>
      <w:r>
        <w:t>Suls</w:t>
      </w:r>
      <w:proofErr w:type="spellEnd"/>
      <w:r>
        <w:t>, 2008), as well as evidence for gender differences (</w:t>
      </w:r>
      <w:proofErr w:type="spellStart"/>
      <w:r>
        <w:t>Helweg</w:t>
      </w:r>
      <w:proofErr w:type="spellEnd"/>
      <w:r>
        <w:t>-Larsen, Harding, &amp; Klein, 2011). There is also substantial variability in optimism as a personality trait</w:t>
      </w:r>
      <w:r w:rsidRPr="009F3C42">
        <w:t xml:space="preserve"> </w:t>
      </w:r>
      <w:r>
        <w:t xml:space="preserve">(Carver et al., 2010). Although our findings were robust against </w:t>
      </w:r>
      <w:r>
        <w:lastRenderedPageBreak/>
        <w:t>gender effects, our studies were conducted in the United States and without personality measures, limiting our knowledge of how our findings about prescriptions might generalize across cultures or other dimensions.</w:t>
      </w:r>
    </w:p>
    <w:p w14:paraId="6ECB8F6A" w14:textId="757FDF0F" w:rsidR="00154F71" w:rsidRDefault="00153537" w:rsidP="00153537">
      <w:pPr>
        <w:spacing w:line="480" w:lineRule="auto"/>
      </w:pPr>
      <w:r>
        <w:tab/>
        <w:t xml:space="preserve">In conclusion, our work provides another example of how, when studying people’s reports about constructs that may have vague, malleable, or complex lay interpretations, adding new measures, perhaps of more specific components, can be crucial </w:t>
      </w:r>
      <w:r w:rsidRPr="00EB1B75">
        <w:t xml:space="preserve">(e.g., </w:t>
      </w:r>
      <w:r>
        <w:t xml:space="preserve">Barrett, 2006; Lucas, </w:t>
      </w:r>
      <w:r w:rsidR="00A1104C">
        <w:t>2018</w:t>
      </w:r>
      <w:r>
        <w:t>; Moore &amp; Schatz, 2017). We have suggested that lay</w:t>
      </w:r>
      <w:r w:rsidR="00154F71">
        <w:t xml:space="preserve"> interpretations of </w:t>
      </w:r>
      <w:r>
        <w:t>“optimism”</w:t>
      </w:r>
      <w:r w:rsidR="00154F71">
        <w:t xml:space="preserve"> and “pessimism” are </w:t>
      </w:r>
      <w:r>
        <w:t xml:space="preserve">vague and malleable, and various associations people have with the terms </w:t>
      </w:r>
      <w:r w:rsidR="00154F71">
        <w:t>m</w:t>
      </w:r>
      <w:r>
        <w:t xml:space="preserve">ay underly people’s tendency to favor an endorsement of optimism. Using the scenarios of Armor et al. (2008) but with new measures, we showed that </w:t>
      </w:r>
      <w:r w:rsidR="00154F71">
        <w:t xml:space="preserve">although </w:t>
      </w:r>
      <w:r>
        <w:t>people favor</w:t>
      </w:r>
      <w:r w:rsidR="00154F71">
        <w:t>ed</w:t>
      </w:r>
      <w:r>
        <w:t xml:space="preserve"> prescriptions of “optimism,” they also prescribe</w:t>
      </w:r>
      <w:r w:rsidR="00154F71">
        <w:t>d</w:t>
      </w:r>
      <w:r>
        <w:t xml:space="preserve"> likelihood estimates that </w:t>
      </w:r>
      <w:r w:rsidR="00154F71">
        <w:t>we</w:t>
      </w:r>
      <w:r>
        <w:t>re essentially pessimistic.</w:t>
      </w:r>
      <w:r w:rsidR="00154F71">
        <w:t xml:space="preserve">  Interpreting people’s prescription</w:t>
      </w:r>
      <w:r w:rsidR="00480B72">
        <w:t>s</w:t>
      </w:r>
      <w:r w:rsidR="00154F71">
        <w:t xml:space="preserve"> of optimism is not straightforward.</w:t>
      </w:r>
    </w:p>
    <w:p w14:paraId="4D3DB0B0" w14:textId="348786AC" w:rsidR="00E83F4E" w:rsidRDefault="00E83F4E"/>
    <w:p w14:paraId="4E464362" w14:textId="7893EAB4" w:rsidR="00E83F4E" w:rsidRDefault="00E83F4E"/>
    <w:p w14:paraId="5D9FEF01" w14:textId="5BA0DDB1" w:rsidR="00E83F4E" w:rsidRDefault="00E83F4E"/>
    <w:p w14:paraId="4565B175" w14:textId="6955AD65" w:rsidR="00E83F4E" w:rsidRDefault="00E83F4E"/>
    <w:p w14:paraId="16E9D802" w14:textId="24106FD0" w:rsidR="00E83F4E" w:rsidRDefault="00E83F4E"/>
    <w:p w14:paraId="259E430D" w14:textId="780AFD52" w:rsidR="00E83F4E" w:rsidRDefault="00E83F4E"/>
    <w:p w14:paraId="58A53264" w14:textId="4FBC4E5D" w:rsidR="00E83F4E" w:rsidRDefault="00E83F4E"/>
    <w:p w14:paraId="061721CD" w14:textId="40786B0C" w:rsidR="00E83F4E" w:rsidRDefault="00E83F4E"/>
    <w:p w14:paraId="66AF8053" w14:textId="75DAEF9A" w:rsidR="00E83F4E" w:rsidRDefault="00E83F4E"/>
    <w:p w14:paraId="6B26E605" w14:textId="4E53506A" w:rsidR="00E83F4E" w:rsidRDefault="00E83F4E"/>
    <w:p w14:paraId="6D40E36C" w14:textId="6D619C2B" w:rsidR="00E83F4E" w:rsidRDefault="00E83F4E"/>
    <w:p w14:paraId="54B11A3A" w14:textId="539F35F7" w:rsidR="00E83F4E" w:rsidRDefault="00E83F4E"/>
    <w:p w14:paraId="1DE63952" w14:textId="2431CA8B" w:rsidR="00E83F4E" w:rsidRDefault="00E83F4E"/>
    <w:p w14:paraId="2534027A" w14:textId="216919F0" w:rsidR="00E83F4E" w:rsidRDefault="00E83F4E"/>
    <w:p w14:paraId="5814DF35" w14:textId="33C3D7FC" w:rsidR="00E83F4E" w:rsidRDefault="00E83F4E"/>
    <w:p w14:paraId="7B41AF51" w14:textId="428925DD" w:rsidR="00E83F4E" w:rsidRDefault="00E83F4E"/>
    <w:p w14:paraId="227E72DE" w14:textId="6809717B" w:rsidR="00E83F4E" w:rsidRDefault="00E83F4E"/>
    <w:p w14:paraId="4D537CC9" w14:textId="4694B57D" w:rsidR="00E83F4E" w:rsidRDefault="00E83F4E"/>
    <w:p w14:paraId="520353C7" w14:textId="3847714A" w:rsidR="00E83F4E" w:rsidRDefault="00E83F4E"/>
    <w:p w14:paraId="27D1F8EE" w14:textId="2EB7D4CD" w:rsidR="00E83F4E" w:rsidRDefault="00E83F4E"/>
    <w:p w14:paraId="781C62F3" w14:textId="77777777" w:rsidR="00E83F4E" w:rsidRDefault="00E83F4E"/>
    <w:p w14:paraId="47613F81" w14:textId="77777777" w:rsidR="00815CB2" w:rsidRDefault="00815CB2"/>
    <w:p w14:paraId="7A443E23" w14:textId="1AFF6941" w:rsidR="000368D0" w:rsidRDefault="00F8235A" w:rsidP="00377A6F">
      <w:pPr>
        <w:spacing w:line="480" w:lineRule="auto"/>
        <w:jc w:val="center"/>
      </w:pPr>
      <w:r>
        <w:lastRenderedPageBreak/>
        <w:t>References</w:t>
      </w:r>
    </w:p>
    <w:p w14:paraId="2F023930" w14:textId="77777777" w:rsidR="000368D0" w:rsidRDefault="000368D0" w:rsidP="002936DE">
      <w:pPr>
        <w:spacing w:line="480" w:lineRule="auto"/>
        <w:rPr>
          <w:color w:val="222222"/>
          <w:shd w:val="clear" w:color="auto" w:fill="FFFFFF"/>
        </w:rPr>
      </w:pPr>
      <w:r w:rsidRPr="00F006F7">
        <w:rPr>
          <w:color w:val="222222"/>
          <w:shd w:val="clear" w:color="auto" w:fill="FFFFFF"/>
        </w:rPr>
        <w:t xml:space="preserve">Armor, D. A., Massey, C., &amp; Sackett, A. M. (2008). Prescribed optimism: Is it right to be wrong </w:t>
      </w:r>
    </w:p>
    <w:p w14:paraId="0358A7DB" w14:textId="20CB551C" w:rsidR="000368D0" w:rsidRPr="00F006F7" w:rsidRDefault="000368D0" w:rsidP="002936DE">
      <w:pPr>
        <w:spacing w:line="480" w:lineRule="auto"/>
        <w:ind w:left="720"/>
        <w:rPr>
          <w:color w:val="222222"/>
          <w:shd w:val="clear" w:color="auto" w:fill="FFFFFF"/>
        </w:rPr>
      </w:pPr>
      <w:r w:rsidRPr="00F006F7">
        <w:rPr>
          <w:color w:val="222222"/>
          <w:shd w:val="clear" w:color="auto" w:fill="FFFFFF"/>
        </w:rPr>
        <w:t xml:space="preserve">about the </w:t>
      </w:r>
      <w:proofErr w:type="gramStart"/>
      <w:r w:rsidRPr="00F006F7">
        <w:rPr>
          <w:color w:val="222222"/>
          <w:shd w:val="clear" w:color="auto" w:fill="FFFFFF"/>
        </w:rPr>
        <w:t>future?.</w:t>
      </w:r>
      <w:proofErr w:type="gramEnd"/>
      <w:r w:rsidRPr="00F006F7">
        <w:rPr>
          <w:color w:val="222222"/>
          <w:shd w:val="clear" w:color="auto" w:fill="FFFFFF"/>
        </w:rPr>
        <w:t> </w:t>
      </w:r>
      <w:r w:rsidRPr="00F006F7">
        <w:rPr>
          <w:i/>
          <w:iCs/>
          <w:color w:val="222222"/>
          <w:shd w:val="clear" w:color="auto" w:fill="FFFFFF"/>
        </w:rPr>
        <w:t>Psychological Science</w:t>
      </w:r>
      <w:r w:rsidRPr="00F006F7">
        <w:rPr>
          <w:color w:val="222222"/>
          <w:shd w:val="clear" w:color="auto" w:fill="FFFFFF"/>
        </w:rPr>
        <w:t>, </w:t>
      </w:r>
      <w:r w:rsidRPr="00F006F7">
        <w:rPr>
          <w:i/>
          <w:iCs/>
          <w:color w:val="222222"/>
          <w:shd w:val="clear" w:color="auto" w:fill="FFFFFF"/>
        </w:rPr>
        <w:t>19</w:t>
      </w:r>
      <w:r w:rsidRPr="00F006F7">
        <w:rPr>
          <w:color w:val="222222"/>
          <w:shd w:val="clear" w:color="auto" w:fill="FFFFFF"/>
        </w:rPr>
        <w:t>, 329-331. https://doi.org/10.1111/j.1467-9280.2008.02089.x</w:t>
      </w:r>
    </w:p>
    <w:p w14:paraId="7B2C1F9F" w14:textId="77777777" w:rsidR="000368D0" w:rsidRDefault="000368D0" w:rsidP="002936DE">
      <w:pPr>
        <w:spacing w:line="480" w:lineRule="auto"/>
        <w:rPr>
          <w:color w:val="000000" w:themeColor="text1"/>
          <w:shd w:val="clear" w:color="auto" w:fill="FFFFFF"/>
        </w:rPr>
      </w:pPr>
      <w:r w:rsidRPr="00F006F7">
        <w:rPr>
          <w:color w:val="000000" w:themeColor="text1"/>
          <w:shd w:val="clear" w:color="auto" w:fill="FFFFFF"/>
        </w:rPr>
        <w:t xml:space="preserve">Armor, D. A., &amp; Taylor, S. E. (2002). When predictions fail: The dilemma of unrealistic </w:t>
      </w:r>
    </w:p>
    <w:p w14:paraId="66C61743" w14:textId="77777777" w:rsidR="000368D0" w:rsidRPr="00F006F7" w:rsidRDefault="000368D0" w:rsidP="002936DE">
      <w:pPr>
        <w:spacing w:line="480" w:lineRule="auto"/>
        <w:ind w:left="720"/>
        <w:rPr>
          <w:color w:val="000000" w:themeColor="text1"/>
          <w:shd w:val="clear" w:color="auto" w:fill="FFFFFF"/>
        </w:rPr>
      </w:pPr>
      <w:r w:rsidRPr="00F006F7">
        <w:rPr>
          <w:color w:val="000000" w:themeColor="text1"/>
          <w:shd w:val="clear" w:color="auto" w:fill="FFFFFF"/>
        </w:rPr>
        <w:t>optimism. In T. Gilovich, D. Griffin, &amp; D. Kahneman (Eds.), </w:t>
      </w:r>
      <w:r w:rsidRPr="00F006F7">
        <w:rPr>
          <w:i/>
          <w:iCs/>
          <w:color w:val="000000" w:themeColor="text1"/>
          <w:shd w:val="clear" w:color="auto" w:fill="FFFFFF"/>
        </w:rPr>
        <w:t>Heuristics and Biases: The Psychology of Intuitive Judgment</w:t>
      </w:r>
      <w:r w:rsidRPr="00F006F7">
        <w:rPr>
          <w:color w:val="000000" w:themeColor="text1"/>
          <w:shd w:val="clear" w:color="auto" w:fill="FFFFFF"/>
        </w:rPr>
        <w:t> (p. 334–347). Cambridge University Press. https://doi.org/10.1017/CBO9780511808098.021</w:t>
      </w:r>
    </w:p>
    <w:p w14:paraId="10D554B4" w14:textId="77777777" w:rsidR="00E95405" w:rsidRDefault="00E95405" w:rsidP="002936DE">
      <w:pPr>
        <w:spacing w:line="480" w:lineRule="auto"/>
      </w:pPr>
      <w:r w:rsidRPr="00E95405">
        <w:t xml:space="preserve">Barrett, L. F. (2006). Are emotions natural </w:t>
      </w:r>
      <w:proofErr w:type="gramStart"/>
      <w:r w:rsidRPr="00E95405">
        <w:t>kinds?.</w:t>
      </w:r>
      <w:proofErr w:type="gramEnd"/>
      <w:r w:rsidRPr="00E95405">
        <w:t xml:space="preserve"> </w:t>
      </w:r>
      <w:r w:rsidRPr="00D80DF6">
        <w:rPr>
          <w:i/>
          <w:iCs/>
        </w:rPr>
        <w:t xml:space="preserve">Perspectives on </w:t>
      </w:r>
      <w:r>
        <w:rPr>
          <w:i/>
          <w:iCs/>
        </w:rPr>
        <w:t>P</w:t>
      </w:r>
      <w:r w:rsidRPr="00D80DF6">
        <w:rPr>
          <w:i/>
          <w:iCs/>
        </w:rPr>
        <w:t xml:space="preserve">sychological </w:t>
      </w:r>
      <w:r>
        <w:rPr>
          <w:i/>
          <w:iCs/>
        </w:rPr>
        <w:t>S</w:t>
      </w:r>
      <w:r w:rsidRPr="00D80DF6">
        <w:rPr>
          <w:i/>
          <w:iCs/>
        </w:rPr>
        <w:t>cience, 1</w:t>
      </w:r>
      <w:r>
        <w:t xml:space="preserve">, </w:t>
      </w:r>
      <w:r w:rsidRPr="00E95405">
        <w:t xml:space="preserve"> </w:t>
      </w:r>
    </w:p>
    <w:p w14:paraId="0D770B08" w14:textId="3BBB05AB" w:rsidR="00E95405" w:rsidRDefault="00E95405" w:rsidP="00D80DF6">
      <w:pPr>
        <w:spacing w:line="480" w:lineRule="auto"/>
        <w:ind w:firstLine="720"/>
      </w:pPr>
      <w:r w:rsidRPr="00E95405">
        <w:t>28-58.</w:t>
      </w:r>
      <w:r>
        <w:t xml:space="preserve"> </w:t>
      </w:r>
      <w:r w:rsidRPr="00E95405">
        <w:t>https://doi.org/10.1111/j.1745-6916.2006.00003.x</w:t>
      </w:r>
    </w:p>
    <w:p w14:paraId="76BB5E89" w14:textId="77777777" w:rsidR="000368D0" w:rsidRDefault="000368D0" w:rsidP="002936DE">
      <w:pPr>
        <w:spacing w:line="480" w:lineRule="auto"/>
        <w:rPr>
          <w:i/>
          <w:iCs/>
          <w:color w:val="222222"/>
          <w:shd w:val="clear" w:color="auto" w:fill="FFFFFF"/>
        </w:rPr>
      </w:pPr>
      <w:r w:rsidRPr="00F006F7">
        <w:rPr>
          <w:color w:val="222222"/>
          <w:shd w:val="clear" w:color="auto" w:fill="FFFFFF"/>
        </w:rPr>
        <w:t>Carroll, P., Sweeny, K., &amp; Shepperd, J. A. (2006). Forsaking optimism. </w:t>
      </w:r>
      <w:r w:rsidRPr="00F006F7">
        <w:rPr>
          <w:i/>
          <w:iCs/>
          <w:color w:val="222222"/>
          <w:shd w:val="clear" w:color="auto" w:fill="FFFFFF"/>
        </w:rPr>
        <w:t xml:space="preserve">Review of </w:t>
      </w:r>
      <w:r>
        <w:rPr>
          <w:i/>
          <w:iCs/>
          <w:color w:val="222222"/>
          <w:shd w:val="clear" w:color="auto" w:fill="FFFFFF"/>
        </w:rPr>
        <w:t>G</w:t>
      </w:r>
      <w:r w:rsidRPr="00F006F7">
        <w:rPr>
          <w:i/>
          <w:iCs/>
          <w:color w:val="222222"/>
          <w:shd w:val="clear" w:color="auto" w:fill="FFFFFF"/>
        </w:rPr>
        <w:t xml:space="preserve">eneral </w:t>
      </w:r>
    </w:p>
    <w:p w14:paraId="0D26A3C9" w14:textId="77777777" w:rsidR="000368D0" w:rsidRPr="00F006F7" w:rsidRDefault="000368D0" w:rsidP="002936DE">
      <w:pPr>
        <w:spacing w:line="480" w:lineRule="auto"/>
        <w:ind w:firstLine="720"/>
        <w:rPr>
          <w:color w:val="000000" w:themeColor="text1"/>
        </w:rPr>
      </w:pPr>
      <w:r>
        <w:rPr>
          <w:i/>
          <w:iCs/>
          <w:color w:val="222222"/>
          <w:shd w:val="clear" w:color="auto" w:fill="FFFFFF"/>
        </w:rPr>
        <w:t>P</w:t>
      </w:r>
      <w:r w:rsidRPr="00F006F7">
        <w:rPr>
          <w:i/>
          <w:iCs/>
          <w:color w:val="222222"/>
          <w:shd w:val="clear" w:color="auto" w:fill="FFFFFF"/>
        </w:rPr>
        <w:t>sychology</w:t>
      </w:r>
      <w:r w:rsidRPr="00F006F7">
        <w:rPr>
          <w:color w:val="222222"/>
          <w:shd w:val="clear" w:color="auto" w:fill="FFFFFF"/>
        </w:rPr>
        <w:t>, </w:t>
      </w:r>
      <w:r w:rsidRPr="00F006F7">
        <w:rPr>
          <w:i/>
          <w:iCs/>
          <w:color w:val="222222"/>
          <w:shd w:val="clear" w:color="auto" w:fill="FFFFFF"/>
        </w:rPr>
        <w:t>10</w:t>
      </w:r>
      <w:r>
        <w:rPr>
          <w:color w:val="222222"/>
          <w:shd w:val="clear" w:color="auto" w:fill="FFFFFF"/>
        </w:rPr>
        <w:t>,</w:t>
      </w:r>
      <w:r w:rsidRPr="00F006F7">
        <w:rPr>
          <w:color w:val="000000" w:themeColor="text1"/>
          <w:shd w:val="clear" w:color="auto" w:fill="FFFFFF"/>
        </w:rPr>
        <w:t xml:space="preserve"> 56-73. https://doi.org/10.1037/1089-2680.10.1.56</w:t>
      </w:r>
    </w:p>
    <w:p w14:paraId="1E660CCB" w14:textId="77777777" w:rsidR="000368D0" w:rsidRDefault="000368D0" w:rsidP="002936DE">
      <w:pPr>
        <w:spacing w:line="480" w:lineRule="auto"/>
        <w:rPr>
          <w:i/>
          <w:iCs/>
          <w:color w:val="222222"/>
          <w:shd w:val="clear" w:color="auto" w:fill="FFFFFF"/>
        </w:rPr>
      </w:pPr>
      <w:r w:rsidRPr="00F006F7">
        <w:rPr>
          <w:color w:val="222222"/>
          <w:shd w:val="clear" w:color="auto" w:fill="FFFFFF"/>
        </w:rPr>
        <w:t xml:space="preserve">Carver, C. S., </w:t>
      </w:r>
      <w:proofErr w:type="spellStart"/>
      <w:r w:rsidRPr="00F006F7">
        <w:rPr>
          <w:color w:val="222222"/>
          <w:shd w:val="clear" w:color="auto" w:fill="FFFFFF"/>
        </w:rPr>
        <w:t>Scheier</w:t>
      </w:r>
      <w:proofErr w:type="spellEnd"/>
      <w:r w:rsidRPr="00F006F7">
        <w:rPr>
          <w:color w:val="222222"/>
          <w:shd w:val="clear" w:color="auto" w:fill="FFFFFF"/>
        </w:rPr>
        <w:t>, M. F., &amp; Segerstrom, S. C. (2010). Optimism. </w:t>
      </w:r>
      <w:r w:rsidRPr="00F006F7">
        <w:rPr>
          <w:i/>
          <w:iCs/>
          <w:color w:val="222222"/>
          <w:shd w:val="clear" w:color="auto" w:fill="FFFFFF"/>
        </w:rPr>
        <w:t xml:space="preserve">Clinical </w:t>
      </w:r>
      <w:r>
        <w:rPr>
          <w:i/>
          <w:iCs/>
          <w:color w:val="222222"/>
          <w:shd w:val="clear" w:color="auto" w:fill="FFFFFF"/>
        </w:rPr>
        <w:t>P</w:t>
      </w:r>
      <w:r w:rsidRPr="00F006F7">
        <w:rPr>
          <w:i/>
          <w:iCs/>
          <w:color w:val="222222"/>
          <w:shd w:val="clear" w:color="auto" w:fill="FFFFFF"/>
        </w:rPr>
        <w:t xml:space="preserve">sychology </w:t>
      </w:r>
    </w:p>
    <w:p w14:paraId="4C05991E" w14:textId="77777777" w:rsidR="000368D0" w:rsidRPr="00795400" w:rsidRDefault="000368D0" w:rsidP="002936DE">
      <w:pPr>
        <w:spacing w:line="480" w:lineRule="auto"/>
        <w:ind w:firstLine="720"/>
      </w:pPr>
      <w:r>
        <w:rPr>
          <w:i/>
          <w:iCs/>
          <w:color w:val="222222"/>
          <w:shd w:val="clear" w:color="auto" w:fill="FFFFFF"/>
        </w:rPr>
        <w:t>R</w:t>
      </w:r>
      <w:r w:rsidRPr="00F006F7">
        <w:rPr>
          <w:i/>
          <w:iCs/>
          <w:color w:val="222222"/>
          <w:shd w:val="clear" w:color="auto" w:fill="FFFFFF"/>
        </w:rPr>
        <w:t>eview</w:t>
      </w:r>
      <w:r w:rsidRPr="00F006F7">
        <w:rPr>
          <w:color w:val="222222"/>
          <w:shd w:val="clear" w:color="auto" w:fill="FFFFFF"/>
        </w:rPr>
        <w:t>, </w:t>
      </w:r>
      <w:r w:rsidRPr="00F006F7">
        <w:rPr>
          <w:i/>
          <w:iCs/>
          <w:color w:val="222222"/>
          <w:shd w:val="clear" w:color="auto" w:fill="FFFFFF"/>
        </w:rPr>
        <w:t>30</w:t>
      </w:r>
      <w:r>
        <w:rPr>
          <w:color w:val="222222"/>
          <w:shd w:val="clear" w:color="auto" w:fill="FFFFFF"/>
        </w:rPr>
        <w:t>,</w:t>
      </w:r>
      <w:r w:rsidRPr="00F006F7">
        <w:rPr>
          <w:color w:val="222222"/>
          <w:shd w:val="clear" w:color="auto" w:fill="FFFFFF"/>
        </w:rPr>
        <w:t xml:space="preserve"> 879-889. https://doi.org/10.1016/j.cpr.2010.01.006</w:t>
      </w:r>
    </w:p>
    <w:p w14:paraId="0DCFF7C8" w14:textId="77777777" w:rsidR="000368D0" w:rsidRDefault="000368D0" w:rsidP="002936DE">
      <w:pPr>
        <w:spacing w:line="480" w:lineRule="auto"/>
        <w:rPr>
          <w:color w:val="000000" w:themeColor="text1"/>
          <w:shd w:val="clear" w:color="auto" w:fill="FFFFFF"/>
        </w:rPr>
      </w:pPr>
      <w:r w:rsidRPr="00F006F7">
        <w:rPr>
          <w:color w:val="000000" w:themeColor="text1"/>
          <w:shd w:val="clear" w:color="auto" w:fill="FFFFFF"/>
        </w:rPr>
        <w:t xml:space="preserve">Chang, E. C., &amp; Asakawa, K. (2003). Cultural variations on optimistic and pessimistic bias for </w:t>
      </w:r>
    </w:p>
    <w:p w14:paraId="7E616C00" w14:textId="77777777" w:rsidR="000368D0" w:rsidRPr="00795400" w:rsidRDefault="000368D0" w:rsidP="002936DE">
      <w:pPr>
        <w:spacing w:line="480" w:lineRule="auto"/>
        <w:ind w:left="720"/>
        <w:rPr>
          <w:color w:val="000000" w:themeColor="text1"/>
        </w:rPr>
      </w:pPr>
      <w:proofErr w:type="spellStart"/>
      <w:r w:rsidRPr="00F006F7">
        <w:rPr>
          <w:color w:val="000000" w:themeColor="text1"/>
          <w:shd w:val="clear" w:color="auto" w:fill="FFFFFF"/>
        </w:rPr>
        <w:t>self versus</w:t>
      </w:r>
      <w:proofErr w:type="spellEnd"/>
      <w:r w:rsidRPr="00F006F7">
        <w:rPr>
          <w:color w:val="000000" w:themeColor="text1"/>
          <w:shd w:val="clear" w:color="auto" w:fill="FFFFFF"/>
        </w:rPr>
        <w:t xml:space="preserve"> a sibling: Is there evidence for self-enhancement in the West and for self-criticism in the East when the referent group is specified? </w:t>
      </w:r>
      <w:r w:rsidRPr="00F006F7">
        <w:rPr>
          <w:i/>
          <w:iCs/>
          <w:color w:val="000000" w:themeColor="text1"/>
          <w:shd w:val="clear" w:color="auto" w:fill="FFFFFF"/>
        </w:rPr>
        <w:t>Journal of Personality and Social Psychology, 84</w:t>
      </w:r>
      <w:r w:rsidRPr="00F006F7">
        <w:rPr>
          <w:color w:val="000000" w:themeColor="text1"/>
          <w:shd w:val="clear" w:color="auto" w:fill="FFFFFF"/>
        </w:rPr>
        <w:t>, 569–581. https://doi.org/10.1037/0022-3514.84.3.569</w:t>
      </w:r>
    </w:p>
    <w:p w14:paraId="7A792C9D" w14:textId="77777777" w:rsidR="000368D0" w:rsidRDefault="000368D0" w:rsidP="002936DE">
      <w:pPr>
        <w:spacing w:line="480" w:lineRule="auto"/>
        <w:rPr>
          <w:color w:val="000000" w:themeColor="text1"/>
          <w:shd w:val="clear" w:color="auto" w:fill="FFFFFF"/>
        </w:rPr>
      </w:pPr>
      <w:r w:rsidRPr="00F006F7">
        <w:rPr>
          <w:color w:val="000000" w:themeColor="text1"/>
          <w:shd w:val="clear" w:color="auto" w:fill="FFFFFF"/>
        </w:rPr>
        <w:t xml:space="preserve">Chang, W., Chen, E., </w:t>
      </w:r>
      <w:proofErr w:type="spellStart"/>
      <w:r w:rsidRPr="00F006F7">
        <w:rPr>
          <w:color w:val="000000" w:themeColor="text1"/>
          <w:shd w:val="clear" w:color="auto" w:fill="FFFFFF"/>
        </w:rPr>
        <w:t>Mellers</w:t>
      </w:r>
      <w:proofErr w:type="spellEnd"/>
      <w:r w:rsidRPr="00F006F7">
        <w:rPr>
          <w:color w:val="000000" w:themeColor="text1"/>
          <w:shd w:val="clear" w:color="auto" w:fill="FFFFFF"/>
        </w:rPr>
        <w:t xml:space="preserve">, B., &amp; </w:t>
      </w:r>
      <w:proofErr w:type="spellStart"/>
      <w:r w:rsidRPr="00F006F7">
        <w:rPr>
          <w:color w:val="000000" w:themeColor="text1"/>
          <w:shd w:val="clear" w:color="auto" w:fill="FFFFFF"/>
        </w:rPr>
        <w:t>Tetlock</w:t>
      </w:r>
      <w:proofErr w:type="spellEnd"/>
      <w:r w:rsidRPr="00F006F7">
        <w:rPr>
          <w:color w:val="000000" w:themeColor="text1"/>
          <w:shd w:val="clear" w:color="auto" w:fill="FFFFFF"/>
        </w:rPr>
        <w:t xml:space="preserve">, P. (2016). Developing expert political judgment: </w:t>
      </w:r>
    </w:p>
    <w:p w14:paraId="15B1838A" w14:textId="77777777" w:rsidR="000368D0" w:rsidRPr="00F006F7" w:rsidRDefault="000368D0" w:rsidP="002936DE">
      <w:pPr>
        <w:spacing w:line="480" w:lineRule="auto"/>
        <w:ind w:left="720"/>
        <w:rPr>
          <w:color w:val="000000" w:themeColor="text1"/>
        </w:rPr>
      </w:pPr>
      <w:r w:rsidRPr="00F006F7">
        <w:rPr>
          <w:color w:val="000000" w:themeColor="text1"/>
          <w:shd w:val="clear" w:color="auto" w:fill="FFFFFF"/>
        </w:rPr>
        <w:t>The impact of training and practice on judgmental accuracy in geopolitical forecasting tournaments. </w:t>
      </w:r>
      <w:r w:rsidRPr="00F006F7">
        <w:rPr>
          <w:i/>
          <w:iCs/>
          <w:color w:val="000000" w:themeColor="text1"/>
          <w:shd w:val="clear" w:color="auto" w:fill="FFFFFF"/>
        </w:rPr>
        <w:t xml:space="preserve">Judgment and Decision </w:t>
      </w:r>
      <w:r>
        <w:rPr>
          <w:i/>
          <w:iCs/>
          <w:color w:val="000000" w:themeColor="text1"/>
          <w:shd w:val="clear" w:color="auto" w:fill="FFFFFF"/>
        </w:rPr>
        <w:t>M</w:t>
      </w:r>
      <w:r w:rsidRPr="00F006F7">
        <w:rPr>
          <w:i/>
          <w:iCs/>
          <w:color w:val="000000" w:themeColor="text1"/>
          <w:shd w:val="clear" w:color="auto" w:fill="FFFFFF"/>
        </w:rPr>
        <w:t>aking</w:t>
      </w:r>
      <w:r w:rsidRPr="00F006F7">
        <w:rPr>
          <w:color w:val="000000" w:themeColor="text1"/>
          <w:shd w:val="clear" w:color="auto" w:fill="FFFFFF"/>
        </w:rPr>
        <w:t>, </w:t>
      </w:r>
      <w:r w:rsidRPr="00F006F7">
        <w:rPr>
          <w:i/>
          <w:iCs/>
          <w:color w:val="000000" w:themeColor="text1"/>
          <w:shd w:val="clear" w:color="auto" w:fill="FFFFFF"/>
        </w:rPr>
        <w:t>11</w:t>
      </w:r>
      <w:r w:rsidRPr="00F006F7">
        <w:rPr>
          <w:color w:val="000000" w:themeColor="text1"/>
          <w:shd w:val="clear" w:color="auto" w:fill="FFFFFF"/>
        </w:rPr>
        <w:t>(5), 509</w:t>
      </w:r>
      <w:r>
        <w:rPr>
          <w:color w:val="000000" w:themeColor="text1"/>
          <w:shd w:val="clear" w:color="auto" w:fill="FFFFFF"/>
        </w:rPr>
        <w:t>-526</w:t>
      </w:r>
      <w:r w:rsidRPr="00F006F7">
        <w:rPr>
          <w:color w:val="000000" w:themeColor="text1"/>
          <w:shd w:val="clear" w:color="auto" w:fill="FFFFFF"/>
        </w:rPr>
        <w:t>.</w:t>
      </w:r>
    </w:p>
    <w:p w14:paraId="56100C63" w14:textId="77777777" w:rsidR="000368D0" w:rsidRDefault="000368D0" w:rsidP="002936DE">
      <w:pPr>
        <w:spacing w:line="480" w:lineRule="auto"/>
        <w:rPr>
          <w:color w:val="000000" w:themeColor="text1"/>
          <w:shd w:val="clear" w:color="auto" w:fill="FFFFFF"/>
        </w:rPr>
      </w:pPr>
      <w:r w:rsidRPr="00F006F7">
        <w:rPr>
          <w:color w:val="000000" w:themeColor="text1"/>
          <w:shd w:val="clear" w:color="auto" w:fill="FFFFFF"/>
        </w:rPr>
        <w:t xml:space="preserve">Fischer, R., &amp; Chalmers, A. (2008). Is optimism universal? A meta-analytical investigation of </w:t>
      </w:r>
    </w:p>
    <w:p w14:paraId="40B82834" w14:textId="77777777" w:rsidR="000368D0" w:rsidRPr="00795400" w:rsidRDefault="000368D0" w:rsidP="002936DE">
      <w:pPr>
        <w:spacing w:line="480" w:lineRule="auto"/>
        <w:ind w:left="720"/>
        <w:rPr>
          <w:color w:val="000000" w:themeColor="text1"/>
        </w:rPr>
      </w:pPr>
      <w:r w:rsidRPr="00F006F7">
        <w:rPr>
          <w:color w:val="000000" w:themeColor="text1"/>
          <w:shd w:val="clear" w:color="auto" w:fill="FFFFFF"/>
        </w:rPr>
        <w:lastRenderedPageBreak/>
        <w:t>optimism levels across 22 nations. </w:t>
      </w:r>
      <w:r w:rsidRPr="00F006F7">
        <w:rPr>
          <w:i/>
          <w:iCs/>
          <w:color w:val="000000" w:themeColor="text1"/>
          <w:shd w:val="clear" w:color="auto" w:fill="FFFFFF"/>
        </w:rPr>
        <w:t>Personality and Individual Differences</w:t>
      </w:r>
      <w:r w:rsidRPr="00F006F7">
        <w:rPr>
          <w:color w:val="000000" w:themeColor="text1"/>
          <w:shd w:val="clear" w:color="auto" w:fill="FFFFFF"/>
        </w:rPr>
        <w:t>, </w:t>
      </w:r>
      <w:r w:rsidRPr="00F006F7">
        <w:rPr>
          <w:i/>
          <w:iCs/>
          <w:color w:val="000000" w:themeColor="text1"/>
          <w:shd w:val="clear" w:color="auto" w:fill="FFFFFF"/>
        </w:rPr>
        <w:t>45</w:t>
      </w:r>
      <w:r>
        <w:rPr>
          <w:color w:val="000000" w:themeColor="text1"/>
          <w:shd w:val="clear" w:color="auto" w:fill="FFFFFF"/>
        </w:rPr>
        <w:t>,</w:t>
      </w:r>
      <w:r w:rsidRPr="00F006F7">
        <w:rPr>
          <w:color w:val="000000" w:themeColor="text1"/>
          <w:shd w:val="clear" w:color="auto" w:fill="FFFFFF"/>
        </w:rPr>
        <w:t xml:space="preserve"> 378-382.</w:t>
      </w:r>
      <w:r w:rsidRPr="00795400">
        <w:rPr>
          <w:color w:val="000000" w:themeColor="text1"/>
          <w:shd w:val="clear" w:color="auto" w:fill="FFFFFF"/>
        </w:rPr>
        <w:t xml:space="preserve"> https://doi.org/10.1016/j.paid.2008.05.008</w:t>
      </w:r>
    </w:p>
    <w:p w14:paraId="73EB1E7E" w14:textId="77777777" w:rsidR="000368D0" w:rsidRDefault="000368D0" w:rsidP="002936DE">
      <w:pPr>
        <w:spacing w:line="480" w:lineRule="auto"/>
        <w:rPr>
          <w:color w:val="000000" w:themeColor="text1"/>
          <w:shd w:val="clear" w:color="auto" w:fill="FFFFFF"/>
        </w:rPr>
      </w:pPr>
      <w:r w:rsidRPr="00F006F7">
        <w:rPr>
          <w:color w:val="000000" w:themeColor="text1"/>
          <w:shd w:val="clear" w:color="auto" w:fill="FFFFFF"/>
        </w:rPr>
        <w:t xml:space="preserve">Gasper, K., </w:t>
      </w:r>
      <w:proofErr w:type="spellStart"/>
      <w:r w:rsidRPr="00F006F7">
        <w:rPr>
          <w:color w:val="000000" w:themeColor="text1"/>
          <w:shd w:val="clear" w:color="auto" w:fill="FFFFFF"/>
        </w:rPr>
        <w:t>Lozinski</w:t>
      </w:r>
      <w:proofErr w:type="spellEnd"/>
      <w:r w:rsidRPr="00F006F7">
        <w:rPr>
          <w:color w:val="000000" w:themeColor="text1"/>
          <w:shd w:val="clear" w:color="auto" w:fill="FFFFFF"/>
        </w:rPr>
        <w:t xml:space="preserve">, R. H., &amp; LeBeau, L. S. (2009). If you plan, then you can: How reflection </w:t>
      </w:r>
    </w:p>
    <w:p w14:paraId="1DFDAC2E" w14:textId="77777777" w:rsidR="000368D0" w:rsidRPr="00795400" w:rsidRDefault="000368D0" w:rsidP="002936DE">
      <w:pPr>
        <w:spacing w:line="480" w:lineRule="auto"/>
        <w:ind w:left="720"/>
        <w:rPr>
          <w:color w:val="000000" w:themeColor="text1"/>
        </w:rPr>
      </w:pPr>
      <w:r w:rsidRPr="00F006F7">
        <w:rPr>
          <w:color w:val="000000" w:themeColor="text1"/>
          <w:shd w:val="clear" w:color="auto" w:fill="FFFFFF"/>
        </w:rPr>
        <w:t>helps defensive pessimists pursue their goals. </w:t>
      </w:r>
      <w:r w:rsidRPr="00F006F7">
        <w:rPr>
          <w:i/>
          <w:iCs/>
          <w:color w:val="000000" w:themeColor="text1"/>
          <w:shd w:val="clear" w:color="auto" w:fill="FFFFFF"/>
        </w:rPr>
        <w:t>Motivation and Emotion, 33</w:t>
      </w:r>
      <w:r w:rsidRPr="00F006F7">
        <w:rPr>
          <w:color w:val="000000" w:themeColor="text1"/>
          <w:shd w:val="clear" w:color="auto" w:fill="FFFFFF"/>
        </w:rPr>
        <w:t>, 203–216. https://doi.org/10.1007/s11031-009-9125-5</w:t>
      </w:r>
    </w:p>
    <w:p w14:paraId="27C32379" w14:textId="77777777" w:rsidR="000368D0" w:rsidRDefault="000368D0" w:rsidP="002936DE">
      <w:pPr>
        <w:spacing w:line="480" w:lineRule="auto"/>
        <w:rPr>
          <w:color w:val="000000" w:themeColor="text1"/>
          <w:shd w:val="clear" w:color="auto" w:fill="FFFFFF"/>
        </w:rPr>
      </w:pPr>
      <w:r w:rsidRPr="00F006F7">
        <w:rPr>
          <w:color w:val="000000" w:themeColor="text1"/>
          <w:shd w:val="clear" w:color="auto" w:fill="FFFFFF"/>
        </w:rPr>
        <w:t xml:space="preserve">Hazlett, A., </w:t>
      </w:r>
      <w:proofErr w:type="spellStart"/>
      <w:r w:rsidRPr="00F006F7">
        <w:rPr>
          <w:color w:val="000000" w:themeColor="text1"/>
          <w:shd w:val="clear" w:color="auto" w:fill="FFFFFF"/>
        </w:rPr>
        <w:t>Molden</w:t>
      </w:r>
      <w:proofErr w:type="spellEnd"/>
      <w:r w:rsidRPr="00F006F7">
        <w:rPr>
          <w:color w:val="000000" w:themeColor="text1"/>
          <w:shd w:val="clear" w:color="auto" w:fill="FFFFFF"/>
        </w:rPr>
        <w:t xml:space="preserve">, D. C., &amp; Sackett, A. M. (2011). Hoping for the best or preparing for the </w:t>
      </w:r>
    </w:p>
    <w:p w14:paraId="0434ACBB" w14:textId="77777777" w:rsidR="000368D0" w:rsidRPr="00795400" w:rsidRDefault="000368D0" w:rsidP="002936DE">
      <w:pPr>
        <w:spacing w:line="480" w:lineRule="auto"/>
        <w:ind w:left="720"/>
        <w:rPr>
          <w:color w:val="000000" w:themeColor="text1"/>
        </w:rPr>
      </w:pPr>
      <w:r w:rsidRPr="00F006F7">
        <w:rPr>
          <w:color w:val="000000" w:themeColor="text1"/>
          <w:shd w:val="clear" w:color="auto" w:fill="FFFFFF"/>
        </w:rPr>
        <w:t>worst? Regulatory focus and preferences for optimism and pessimism in predicting personal outcomes. </w:t>
      </w:r>
      <w:r w:rsidRPr="00F006F7">
        <w:rPr>
          <w:i/>
          <w:iCs/>
          <w:color w:val="000000" w:themeColor="text1"/>
          <w:shd w:val="clear" w:color="auto" w:fill="FFFFFF"/>
        </w:rPr>
        <w:t>Social Cognition</w:t>
      </w:r>
      <w:r w:rsidRPr="00F006F7">
        <w:rPr>
          <w:color w:val="000000" w:themeColor="text1"/>
          <w:shd w:val="clear" w:color="auto" w:fill="FFFFFF"/>
        </w:rPr>
        <w:t>, </w:t>
      </w:r>
      <w:r w:rsidRPr="00F006F7">
        <w:rPr>
          <w:i/>
          <w:iCs/>
          <w:color w:val="000000" w:themeColor="text1"/>
          <w:shd w:val="clear" w:color="auto" w:fill="FFFFFF"/>
        </w:rPr>
        <w:t>29</w:t>
      </w:r>
      <w:r w:rsidRPr="00F006F7">
        <w:rPr>
          <w:color w:val="000000" w:themeColor="text1"/>
          <w:shd w:val="clear" w:color="auto" w:fill="FFFFFF"/>
        </w:rPr>
        <w:t>, 74-96.</w:t>
      </w:r>
      <w:r>
        <w:rPr>
          <w:color w:val="000000" w:themeColor="text1"/>
          <w:shd w:val="clear" w:color="auto" w:fill="FFFFFF"/>
        </w:rPr>
        <w:t xml:space="preserve"> </w:t>
      </w:r>
      <w:r w:rsidRPr="00795400">
        <w:rPr>
          <w:color w:val="000000" w:themeColor="text1"/>
          <w:shd w:val="clear" w:color="auto" w:fill="FFFFFF"/>
        </w:rPr>
        <w:t>https://doi.org/10.1521/</w:t>
      </w:r>
      <w:r>
        <w:rPr>
          <w:color w:val="000000" w:themeColor="text1"/>
          <w:shd w:val="clear" w:color="auto" w:fill="FFFFFF"/>
        </w:rPr>
        <w:t xml:space="preserve"> </w:t>
      </w:r>
      <w:r w:rsidRPr="00795400">
        <w:rPr>
          <w:color w:val="000000" w:themeColor="text1"/>
          <w:shd w:val="clear" w:color="auto" w:fill="FFFFFF"/>
        </w:rPr>
        <w:t>soco.2011.29.1.74</w:t>
      </w:r>
    </w:p>
    <w:p w14:paraId="73D33841" w14:textId="77777777" w:rsidR="000368D0" w:rsidRDefault="000368D0" w:rsidP="002936DE">
      <w:pPr>
        <w:spacing w:line="480" w:lineRule="auto"/>
        <w:rPr>
          <w:i/>
          <w:iCs/>
          <w:color w:val="000000" w:themeColor="text1"/>
          <w:shd w:val="clear" w:color="auto" w:fill="FFFFFF"/>
        </w:rPr>
      </w:pPr>
      <w:r w:rsidRPr="00F006F7">
        <w:rPr>
          <w:color w:val="000000" w:themeColor="text1"/>
          <w:shd w:val="clear" w:color="auto" w:fill="FFFFFF"/>
        </w:rPr>
        <w:t xml:space="preserve">Heine, S. J., &amp; </w:t>
      </w:r>
      <w:proofErr w:type="spellStart"/>
      <w:r w:rsidRPr="00F006F7">
        <w:rPr>
          <w:color w:val="000000" w:themeColor="text1"/>
          <w:shd w:val="clear" w:color="auto" w:fill="FFFFFF"/>
        </w:rPr>
        <w:t>Hamamura</w:t>
      </w:r>
      <w:proofErr w:type="spellEnd"/>
      <w:r w:rsidRPr="00F006F7">
        <w:rPr>
          <w:color w:val="000000" w:themeColor="text1"/>
          <w:shd w:val="clear" w:color="auto" w:fill="FFFFFF"/>
        </w:rPr>
        <w:t>, T. (2007). In search of East Asian self-enhancement. </w:t>
      </w:r>
      <w:r w:rsidRPr="00F006F7">
        <w:rPr>
          <w:i/>
          <w:iCs/>
          <w:color w:val="000000" w:themeColor="text1"/>
          <w:shd w:val="clear" w:color="auto" w:fill="FFFFFF"/>
        </w:rPr>
        <w:t xml:space="preserve">Personality and </w:t>
      </w:r>
    </w:p>
    <w:p w14:paraId="092209E8" w14:textId="77777777" w:rsidR="000368D0" w:rsidRPr="00F006F7" w:rsidRDefault="000368D0" w:rsidP="002936DE">
      <w:pPr>
        <w:spacing w:line="480" w:lineRule="auto"/>
        <w:ind w:firstLine="720"/>
        <w:rPr>
          <w:color w:val="000000" w:themeColor="text1"/>
          <w:shd w:val="clear" w:color="auto" w:fill="FFFFFF"/>
        </w:rPr>
      </w:pPr>
      <w:r w:rsidRPr="00F006F7">
        <w:rPr>
          <w:i/>
          <w:iCs/>
          <w:color w:val="000000" w:themeColor="text1"/>
          <w:shd w:val="clear" w:color="auto" w:fill="FFFFFF"/>
        </w:rPr>
        <w:t>Social Psychology Review</w:t>
      </w:r>
      <w:r w:rsidRPr="00F006F7">
        <w:rPr>
          <w:color w:val="000000" w:themeColor="text1"/>
          <w:shd w:val="clear" w:color="auto" w:fill="FFFFFF"/>
        </w:rPr>
        <w:t>, </w:t>
      </w:r>
      <w:r w:rsidRPr="00F006F7">
        <w:rPr>
          <w:i/>
          <w:iCs/>
          <w:color w:val="000000" w:themeColor="text1"/>
          <w:shd w:val="clear" w:color="auto" w:fill="FFFFFF"/>
        </w:rPr>
        <w:t>11</w:t>
      </w:r>
      <w:r w:rsidRPr="00F006F7">
        <w:rPr>
          <w:color w:val="000000" w:themeColor="text1"/>
          <w:shd w:val="clear" w:color="auto" w:fill="FFFFFF"/>
        </w:rPr>
        <w:t>, 4-27.</w:t>
      </w:r>
      <w:r w:rsidRPr="00795400">
        <w:rPr>
          <w:color w:val="000000" w:themeColor="text1"/>
          <w:shd w:val="clear" w:color="auto" w:fill="FFFFFF"/>
        </w:rPr>
        <w:t xml:space="preserve"> https://doi.org/10.1177/1088868306294587</w:t>
      </w:r>
    </w:p>
    <w:p w14:paraId="79E2B928" w14:textId="77777777" w:rsidR="000368D0" w:rsidRDefault="000368D0" w:rsidP="002936DE">
      <w:pPr>
        <w:spacing w:line="480" w:lineRule="auto"/>
        <w:rPr>
          <w:color w:val="000000" w:themeColor="text1"/>
          <w:shd w:val="clear" w:color="auto" w:fill="FFFFFF"/>
        </w:rPr>
      </w:pPr>
      <w:proofErr w:type="spellStart"/>
      <w:r w:rsidRPr="00F006F7">
        <w:rPr>
          <w:color w:val="000000" w:themeColor="text1"/>
          <w:shd w:val="clear" w:color="auto" w:fill="FFFFFF"/>
        </w:rPr>
        <w:t>Helweg</w:t>
      </w:r>
      <w:proofErr w:type="spellEnd"/>
      <w:r w:rsidRPr="00F006F7">
        <w:rPr>
          <w:color w:val="000000" w:themeColor="text1"/>
          <w:shd w:val="clear" w:color="auto" w:fill="FFFFFF"/>
        </w:rPr>
        <w:t xml:space="preserve">-Larsen, M., Harding, H. G., &amp; Klein, W. M. (2011). Will I divorce or have a happy </w:t>
      </w:r>
    </w:p>
    <w:p w14:paraId="09E6365C" w14:textId="77777777" w:rsidR="000368D0" w:rsidRPr="00795400" w:rsidRDefault="000368D0" w:rsidP="002936DE">
      <w:pPr>
        <w:spacing w:line="480" w:lineRule="auto"/>
        <w:ind w:left="720"/>
        <w:rPr>
          <w:color w:val="000000" w:themeColor="text1"/>
        </w:rPr>
      </w:pPr>
      <w:proofErr w:type="gramStart"/>
      <w:r w:rsidRPr="00F006F7">
        <w:rPr>
          <w:color w:val="000000" w:themeColor="text1"/>
          <w:shd w:val="clear" w:color="auto" w:fill="FFFFFF"/>
        </w:rPr>
        <w:t>marriage?:</w:t>
      </w:r>
      <w:proofErr w:type="gramEnd"/>
      <w:r w:rsidRPr="00F006F7">
        <w:rPr>
          <w:color w:val="000000" w:themeColor="text1"/>
          <w:shd w:val="clear" w:color="auto" w:fill="FFFFFF"/>
        </w:rPr>
        <w:t xml:space="preserve"> Gender differences in comparative optimism and estimation of personal chances among US college students. </w:t>
      </w:r>
      <w:r w:rsidRPr="00F006F7">
        <w:rPr>
          <w:i/>
          <w:iCs/>
          <w:color w:val="000000" w:themeColor="text1"/>
          <w:shd w:val="clear" w:color="auto" w:fill="FFFFFF"/>
        </w:rPr>
        <w:t xml:space="preserve">Basic and </w:t>
      </w:r>
      <w:r>
        <w:rPr>
          <w:i/>
          <w:iCs/>
          <w:color w:val="000000" w:themeColor="text1"/>
          <w:shd w:val="clear" w:color="auto" w:fill="FFFFFF"/>
        </w:rPr>
        <w:t>A</w:t>
      </w:r>
      <w:r w:rsidRPr="00F006F7">
        <w:rPr>
          <w:i/>
          <w:iCs/>
          <w:color w:val="000000" w:themeColor="text1"/>
          <w:shd w:val="clear" w:color="auto" w:fill="FFFFFF"/>
        </w:rPr>
        <w:t xml:space="preserve">pplied </w:t>
      </w:r>
      <w:r>
        <w:rPr>
          <w:i/>
          <w:iCs/>
          <w:color w:val="000000" w:themeColor="text1"/>
          <w:shd w:val="clear" w:color="auto" w:fill="FFFFFF"/>
        </w:rPr>
        <w:t>S</w:t>
      </w:r>
      <w:r w:rsidRPr="00F006F7">
        <w:rPr>
          <w:i/>
          <w:iCs/>
          <w:color w:val="000000" w:themeColor="text1"/>
          <w:shd w:val="clear" w:color="auto" w:fill="FFFFFF"/>
        </w:rPr>
        <w:t xml:space="preserve">ocial </w:t>
      </w:r>
      <w:r>
        <w:rPr>
          <w:i/>
          <w:iCs/>
          <w:color w:val="000000" w:themeColor="text1"/>
          <w:shd w:val="clear" w:color="auto" w:fill="FFFFFF"/>
        </w:rPr>
        <w:t>P</w:t>
      </w:r>
      <w:r w:rsidRPr="00F006F7">
        <w:rPr>
          <w:i/>
          <w:iCs/>
          <w:color w:val="000000" w:themeColor="text1"/>
          <w:shd w:val="clear" w:color="auto" w:fill="FFFFFF"/>
        </w:rPr>
        <w:t>sychology</w:t>
      </w:r>
      <w:r w:rsidRPr="00F006F7">
        <w:rPr>
          <w:color w:val="000000" w:themeColor="text1"/>
          <w:shd w:val="clear" w:color="auto" w:fill="FFFFFF"/>
        </w:rPr>
        <w:t>, </w:t>
      </w:r>
      <w:r w:rsidRPr="00F006F7">
        <w:rPr>
          <w:i/>
          <w:iCs/>
          <w:color w:val="000000" w:themeColor="text1"/>
          <w:shd w:val="clear" w:color="auto" w:fill="FFFFFF"/>
        </w:rPr>
        <w:t>33</w:t>
      </w:r>
      <w:r w:rsidRPr="00F006F7">
        <w:rPr>
          <w:color w:val="000000" w:themeColor="text1"/>
          <w:shd w:val="clear" w:color="auto" w:fill="FFFFFF"/>
        </w:rPr>
        <w:t>, 157-166.</w:t>
      </w:r>
      <w:r w:rsidRPr="00795400">
        <w:rPr>
          <w:color w:val="000000" w:themeColor="text1"/>
          <w:shd w:val="clear" w:color="auto" w:fill="FFFFFF"/>
        </w:rPr>
        <w:t xml:space="preserve"> https://doi.org/10.1080/01973533.2011.568874</w:t>
      </w:r>
    </w:p>
    <w:p w14:paraId="5FC02097" w14:textId="77777777" w:rsidR="000368D0" w:rsidRDefault="000368D0" w:rsidP="002936DE">
      <w:pPr>
        <w:spacing w:line="480" w:lineRule="auto"/>
        <w:rPr>
          <w:color w:val="000000" w:themeColor="text1"/>
        </w:rPr>
      </w:pPr>
      <w:proofErr w:type="spellStart"/>
      <w:r w:rsidRPr="00795400">
        <w:rPr>
          <w:color w:val="000000" w:themeColor="text1"/>
        </w:rPr>
        <w:t>Helweg</w:t>
      </w:r>
      <w:proofErr w:type="spellEnd"/>
      <w:r w:rsidRPr="00795400">
        <w:rPr>
          <w:color w:val="000000" w:themeColor="text1"/>
        </w:rPr>
        <w:t xml:space="preserve">-Larsen, M., </w:t>
      </w:r>
      <w:proofErr w:type="spellStart"/>
      <w:r w:rsidRPr="00795400">
        <w:rPr>
          <w:color w:val="000000" w:themeColor="text1"/>
        </w:rPr>
        <w:t>Sadeghian</w:t>
      </w:r>
      <w:proofErr w:type="spellEnd"/>
      <w:r w:rsidRPr="00795400">
        <w:rPr>
          <w:color w:val="000000" w:themeColor="text1"/>
        </w:rPr>
        <w:t xml:space="preserve">, P., &amp; Webb, M. S. (2002). The stigma of being pessimistically </w:t>
      </w:r>
    </w:p>
    <w:p w14:paraId="68AF3165" w14:textId="77777777" w:rsidR="000368D0" w:rsidRPr="00795400" w:rsidRDefault="000368D0" w:rsidP="002936DE">
      <w:pPr>
        <w:spacing w:line="480" w:lineRule="auto"/>
        <w:ind w:left="720"/>
        <w:rPr>
          <w:color w:val="000000" w:themeColor="text1"/>
        </w:rPr>
      </w:pPr>
      <w:r w:rsidRPr="00795400">
        <w:rPr>
          <w:color w:val="000000" w:themeColor="text1"/>
        </w:rPr>
        <w:t xml:space="preserve">biased. </w:t>
      </w:r>
      <w:r w:rsidRPr="00795400">
        <w:rPr>
          <w:i/>
          <w:iCs/>
          <w:color w:val="000000" w:themeColor="text1"/>
        </w:rPr>
        <w:t>Journal of Social and Clinical Psychology, 21</w:t>
      </w:r>
      <w:r w:rsidRPr="00795400">
        <w:rPr>
          <w:color w:val="000000" w:themeColor="text1"/>
        </w:rPr>
        <w:t>, 92-107. https://doi.org/10.1521/jscp.21.1.92.22405</w:t>
      </w:r>
    </w:p>
    <w:p w14:paraId="2406E927" w14:textId="77777777" w:rsidR="000368D0" w:rsidRDefault="000368D0" w:rsidP="002936DE">
      <w:pPr>
        <w:spacing w:line="480" w:lineRule="auto"/>
        <w:rPr>
          <w:color w:val="000000" w:themeColor="text1"/>
          <w:shd w:val="clear" w:color="auto" w:fill="FFFFFF"/>
        </w:rPr>
      </w:pPr>
      <w:proofErr w:type="spellStart"/>
      <w:r w:rsidRPr="00F006F7">
        <w:rPr>
          <w:color w:val="000000" w:themeColor="text1"/>
          <w:shd w:val="clear" w:color="auto" w:fill="FFFFFF"/>
        </w:rPr>
        <w:t>Hoorens</w:t>
      </w:r>
      <w:proofErr w:type="spellEnd"/>
      <w:r w:rsidRPr="00F006F7">
        <w:rPr>
          <w:color w:val="000000" w:themeColor="text1"/>
          <w:shd w:val="clear" w:color="auto" w:fill="FFFFFF"/>
        </w:rPr>
        <w:t xml:space="preserve">, V., Van Damme, C., </w:t>
      </w:r>
      <w:proofErr w:type="spellStart"/>
      <w:r w:rsidRPr="00F006F7">
        <w:rPr>
          <w:color w:val="000000" w:themeColor="text1"/>
          <w:shd w:val="clear" w:color="auto" w:fill="FFFFFF"/>
        </w:rPr>
        <w:t>Helweg</w:t>
      </w:r>
      <w:proofErr w:type="spellEnd"/>
      <w:r w:rsidRPr="00F006F7">
        <w:rPr>
          <w:color w:val="000000" w:themeColor="text1"/>
          <w:shd w:val="clear" w:color="auto" w:fill="FFFFFF"/>
        </w:rPr>
        <w:t xml:space="preserve">-Larsen, M., &amp; Sedikides, C. (2017). The hubris </w:t>
      </w:r>
    </w:p>
    <w:p w14:paraId="382B4181" w14:textId="77777777" w:rsidR="000368D0" w:rsidRPr="00795400" w:rsidRDefault="000368D0" w:rsidP="002936DE">
      <w:pPr>
        <w:spacing w:line="480" w:lineRule="auto"/>
        <w:ind w:left="720"/>
        <w:rPr>
          <w:color w:val="000000" w:themeColor="text1"/>
        </w:rPr>
      </w:pPr>
      <w:r w:rsidRPr="00F006F7">
        <w:rPr>
          <w:color w:val="000000" w:themeColor="text1"/>
          <w:shd w:val="clear" w:color="auto" w:fill="FFFFFF"/>
        </w:rPr>
        <w:t>hypothesis: The downside of comparative optimism displays. </w:t>
      </w:r>
      <w:r w:rsidRPr="00F006F7">
        <w:rPr>
          <w:i/>
          <w:iCs/>
          <w:color w:val="000000" w:themeColor="text1"/>
          <w:shd w:val="clear" w:color="auto" w:fill="FFFFFF"/>
        </w:rPr>
        <w:t>Consciousness and Cognition</w:t>
      </w:r>
      <w:r w:rsidRPr="00F006F7">
        <w:rPr>
          <w:color w:val="000000" w:themeColor="text1"/>
          <w:shd w:val="clear" w:color="auto" w:fill="FFFFFF"/>
        </w:rPr>
        <w:t>, </w:t>
      </w:r>
      <w:r w:rsidRPr="00F006F7">
        <w:rPr>
          <w:i/>
          <w:iCs/>
          <w:color w:val="000000" w:themeColor="text1"/>
          <w:shd w:val="clear" w:color="auto" w:fill="FFFFFF"/>
        </w:rPr>
        <w:t>50</w:t>
      </w:r>
      <w:r w:rsidRPr="00F006F7">
        <w:rPr>
          <w:color w:val="000000" w:themeColor="text1"/>
          <w:shd w:val="clear" w:color="auto" w:fill="FFFFFF"/>
        </w:rPr>
        <w:t>, 45-55.</w:t>
      </w:r>
      <w:r w:rsidRPr="00795400">
        <w:rPr>
          <w:color w:val="000000" w:themeColor="text1"/>
          <w:shd w:val="clear" w:color="auto" w:fill="FFFFFF"/>
        </w:rPr>
        <w:t xml:space="preserve"> https://doi.org/10.1016/j.concog.2016.07.003</w:t>
      </w:r>
    </w:p>
    <w:p w14:paraId="6E7CBE83" w14:textId="77777777" w:rsidR="000368D0" w:rsidRDefault="000368D0" w:rsidP="002936DE">
      <w:pPr>
        <w:spacing w:line="480" w:lineRule="auto"/>
        <w:rPr>
          <w:color w:val="000000" w:themeColor="text1"/>
          <w:shd w:val="clear" w:color="auto" w:fill="FFFFFF"/>
        </w:rPr>
      </w:pPr>
      <w:proofErr w:type="spellStart"/>
      <w:r w:rsidRPr="00F006F7">
        <w:rPr>
          <w:color w:val="000000" w:themeColor="text1"/>
          <w:shd w:val="clear" w:color="auto" w:fill="FFFFFF"/>
        </w:rPr>
        <w:t>Klaaren</w:t>
      </w:r>
      <w:proofErr w:type="spellEnd"/>
      <w:r w:rsidRPr="00F006F7">
        <w:rPr>
          <w:color w:val="000000" w:themeColor="text1"/>
          <w:shd w:val="clear" w:color="auto" w:fill="FFFFFF"/>
        </w:rPr>
        <w:t xml:space="preserve">, K. J., Hodges, S. D., &amp; Wilson, T. D. (1994). The role of affective expectations in </w:t>
      </w:r>
    </w:p>
    <w:p w14:paraId="42A5A0D3" w14:textId="77777777" w:rsidR="000368D0" w:rsidRPr="00795400" w:rsidRDefault="000368D0" w:rsidP="002936DE">
      <w:pPr>
        <w:spacing w:line="480" w:lineRule="auto"/>
        <w:ind w:left="720"/>
        <w:rPr>
          <w:color w:val="000000" w:themeColor="text1"/>
        </w:rPr>
      </w:pPr>
      <w:r w:rsidRPr="00F006F7">
        <w:rPr>
          <w:color w:val="000000" w:themeColor="text1"/>
          <w:shd w:val="clear" w:color="auto" w:fill="FFFFFF"/>
        </w:rPr>
        <w:lastRenderedPageBreak/>
        <w:t>subjective experience and decision-making. </w:t>
      </w:r>
      <w:r w:rsidRPr="00F006F7">
        <w:rPr>
          <w:i/>
          <w:iCs/>
          <w:color w:val="000000" w:themeColor="text1"/>
          <w:shd w:val="clear" w:color="auto" w:fill="FFFFFF"/>
        </w:rPr>
        <w:t>Social Cognition, 12</w:t>
      </w:r>
      <w:r w:rsidRPr="00F006F7">
        <w:rPr>
          <w:color w:val="000000" w:themeColor="text1"/>
          <w:shd w:val="clear" w:color="auto" w:fill="FFFFFF"/>
        </w:rPr>
        <w:t>, 77–101. https://doi.org/10.1521/soco.1994.12.2.77</w:t>
      </w:r>
    </w:p>
    <w:p w14:paraId="2017B4C6" w14:textId="77777777" w:rsidR="003D2A56" w:rsidRDefault="003D2A56" w:rsidP="002936DE">
      <w:pPr>
        <w:spacing w:line="480" w:lineRule="auto"/>
        <w:rPr>
          <w:color w:val="000000" w:themeColor="text1"/>
          <w:shd w:val="clear" w:color="auto" w:fill="FFFFFF"/>
        </w:rPr>
      </w:pPr>
      <w:proofErr w:type="spellStart"/>
      <w:r w:rsidRPr="003D2A56">
        <w:rPr>
          <w:color w:val="000000" w:themeColor="text1"/>
          <w:shd w:val="clear" w:color="auto" w:fill="FFFFFF"/>
        </w:rPr>
        <w:t>Leedham</w:t>
      </w:r>
      <w:proofErr w:type="spellEnd"/>
      <w:r w:rsidRPr="003D2A56">
        <w:rPr>
          <w:color w:val="000000" w:themeColor="text1"/>
          <w:shd w:val="clear" w:color="auto" w:fill="FFFFFF"/>
        </w:rPr>
        <w:t xml:space="preserve">, B., Meyerowitz, B. E., </w:t>
      </w:r>
      <w:proofErr w:type="spellStart"/>
      <w:r w:rsidRPr="003D2A56">
        <w:rPr>
          <w:color w:val="000000" w:themeColor="text1"/>
          <w:shd w:val="clear" w:color="auto" w:fill="FFFFFF"/>
        </w:rPr>
        <w:t>Muirhead</w:t>
      </w:r>
      <w:proofErr w:type="spellEnd"/>
      <w:r w:rsidRPr="003D2A56">
        <w:rPr>
          <w:color w:val="000000" w:themeColor="text1"/>
          <w:shd w:val="clear" w:color="auto" w:fill="FFFFFF"/>
        </w:rPr>
        <w:t xml:space="preserve">, J., &amp; Frist, W. H. (1995). Positive expectations </w:t>
      </w:r>
    </w:p>
    <w:p w14:paraId="63C639D5" w14:textId="04F0AC89" w:rsidR="003D2A56" w:rsidRDefault="003D2A56" w:rsidP="00D80DF6">
      <w:pPr>
        <w:spacing w:line="480" w:lineRule="auto"/>
        <w:ind w:left="720"/>
        <w:rPr>
          <w:color w:val="000000" w:themeColor="text1"/>
          <w:shd w:val="clear" w:color="auto" w:fill="FFFFFF"/>
        </w:rPr>
      </w:pPr>
      <w:r w:rsidRPr="003D2A56">
        <w:rPr>
          <w:color w:val="000000" w:themeColor="text1"/>
          <w:shd w:val="clear" w:color="auto" w:fill="FFFFFF"/>
        </w:rPr>
        <w:t xml:space="preserve">predict health after heart transplantation. </w:t>
      </w:r>
      <w:r w:rsidRPr="00D80DF6">
        <w:rPr>
          <w:i/>
          <w:iCs/>
          <w:color w:val="000000" w:themeColor="text1"/>
          <w:shd w:val="clear" w:color="auto" w:fill="FFFFFF"/>
        </w:rPr>
        <w:t>Health Psychology, 14</w:t>
      </w:r>
      <w:r w:rsidRPr="003D2A56">
        <w:rPr>
          <w:color w:val="000000" w:themeColor="text1"/>
          <w:shd w:val="clear" w:color="auto" w:fill="FFFFFF"/>
        </w:rPr>
        <w:t>, 74–79. https://doi.org/10.1037/0278-6133.14.1.74</w:t>
      </w:r>
    </w:p>
    <w:p w14:paraId="11CBB70F" w14:textId="77777777" w:rsidR="00E36AF7" w:rsidRDefault="00E36AF7" w:rsidP="002936DE">
      <w:pPr>
        <w:pStyle w:val="CommentText"/>
        <w:spacing w:line="480" w:lineRule="auto"/>
        <w:rPr>
          <w:rFonts w:ascii="Times New Roman" w:hAnsi="Times New Roman" w:cs="Times New Roman"/>
          <w:color w:val="000000" w:themeColor="text1"/>
          <w:sz w:val="24"/>
          <w:szCs w:val="24"/>
        </w:rPr>
      </w:pPr>
      <w:r w:rsidRPr="00E36AF7">
        <w:rPr>
          <w:rFonts w:ascii="Times New Roman" w:hAnsi="Times New Roman" w:cs="Times New Roman"/>
          <w:color w:val="000000" w:themeColor="text1"/>
          <w:sz w:val="24"/>
          <w:szCs w:val="24"/>
        </w:rPr>
        <w:t xml:space="preserve">Lucas, R. E. (2018). Reevaluating the strengths and weaknesses of self-report measures of </w:t>
      </w:r>
    </w:p>
    <w:p w14:paraId="2554A0E9" w14:textId="66D19847" w:rsidR="00E36AF7" w:rsidRDefault="00E36AF7" w:rsidP="00D80DF6">
      <w:pPr>
        <w:pStyle w:val="CommentText"/>
        <w:spacing w:line="480" w:lineRule="auto"/>
        <w:ind w:left="720"/>
        <w:rPr>
          <w:rFonts w:ascii="Times New Roman" w:hAnsi="Times New Roman" w:cs="Times New Roman"/>
          <w:color w:val="000000" w:themeColor="text1"/>
          <w:sz w:val="24"/>
          <w:szCs w:val="24"/>
        </w:rPr>
      </w:pPr>
      <w:r w:rsidRPr="00E36AF7">
        <w:rPr>
          <w:rFonts w:ascii="Times New Roman" w:hAnsi="Times New Roman" w:cs="Times New Roman"/>
          <w:color w:val="000000" w:themeColor="text1"/>
          <w:sz w:val="24"/>
          <w:szCs w:val="24"/>
        </w:rPr>
        <w:t>subjective</w:t>
      </w:r>
      <w:r>
        <w:rPr>
          <w:rFonts w:ascii="Times New Roman" w:hAnsi="Times New Roman" w:cs="Times New Roman"/>
          <w:color w:val="000000" w:themeColor="text1"/>
          <w:sz w:val="24"/>
          <w:szCs w:val="24"/>
        </w:rPr>
        <w:t xml:space="preserve"> </w:t>
      </w:r>
      <w:r w:rsidRPr="00E36AF7">
        <w:rPr>
          <w:rFonts w:ascii="Times New Roman" w:hAnsi="Times New Roman" w:cs="Times New Roman"/>
          <w:color w:val="000000" w:themeColor="text1"/>
          <w:sz w:val="24"/>
          <w:szCs w:val="24"/>
        </w:rPr>
        <w:t xml:space="preserve">well-being. In E. Diener, S. Oishi, &amp; L. Tay (Eds.), </w:t>
      </w:r>
      <w:r w:rsidRPr="00D80DF6">
        <w:rPr>
          <w:rFonts w:ascii="Times New Roman" w:hAnsi="Times New Roman" w:cs="Times New Roman"/>
          <w:i/>
          <w:iCs/>
          <w:color w:val="000000" w:themeColor="text1"/>
          <w:sz w:val="24"/>
          <w:szCs w:val="24"/>
        </w:rPr>
        <w:t>Handbook of Well-Being.</w:t>
      </w:r>
      <w:r w:rsidRPr="00E36AF7">
        <w:rPr>
          <w:rFonts w:ascii="Times New Roman" w:hAnsi="Times New Roman" w:cs="Times New Roman"/>
          <w:color w:val="000000" w:themeColor="text1"/>
          <w:sz w:val="24"/>
          <w:szCs w:val="24"/>
        </w:rPr>
        <w:t xml:space="preserve"> Salt Lake City, UT: </w:t>
      </w:r>
      <w:proofErr w:type="spellStart"/>
      <w:r w:rsidRPr="00E36AF7">
        <w:rPr>
          <w:rFonts w:ascii="Times New Roman" w:hAnsi="Times New Roman" w:cs="Times New Roman"/>
          <w:color w:val="000000" w:themeColor="text1"/>
          <w:sz w:val="24"/>
          <w:szCs w:val="24"/>
        </w:rPr>
        <w:t>DEFPublishers</w:t>
      </w:r>
      <w:proofErr w:type="spellEnd"/>
      <w:r w:rsidRPr="00E36AF7">
        <w:rPr>
          <w:rFonts w:ascii="Times New Roman" w:hAnsi="Times New Roman" w:cs="Times New Roman"/>
          <w:color w:val="000000" w:themeColor="text1"/>
          <w:sz w:val="24"/>
          <w:szCs w:val="24"/>
        </w:rPr>
        <w:t>.</w:t>
      </w:r>
    </w:p>
    <w:p w14:paraId="384EAB52" w14:textId="77777777" w:rsidR="00E36AF7" w:rsidRDefault="00E36AF7" w:rsidP="002936DE">
      <w:pPr>
        <w:pStyle w:val="CommentText"/>
        <w:spacing w:line="480" w:lineRule="auto"/>
        <w:rPr>
          <w:rFonts w:ascii="Times New Roman" w:hAnsi="Times New Roman" w:cs="Times New Roman"/>
          <w:i/>
          <w:iCs/>
          <w:color w:val="000000" w:themeColor="text1"/>
          <w:sz w:val="24"/>
          <w:szCs w:val="24"/>
        </w:rPr>
      </w:pPr>
      <w:r w:rsidRPr="00E36AF7">
        <w:rPr>
          <w:rFonts w:ascii="Times New Roman" w:hAnsi="Times New Roman" w:cs="Times New Roman"/>
          <w:color w:val="000000" w:themeColor="text1"/>
          <w:sz w:val="24"/>
          <w:szCs w:val="24"/>
        </w:rPr>
        <w:t xml:space="preserve">Moore, D. A., &amp; Schatz, D. (2017). The three faces of overconfidence. </w:t>
      </w:r>
      <w:r w:rsidRPr="00D80DF6">
        <w:rPr>
          <w:rFonts w:ascii="Times New Roman" w:hAnsi="Times New Roman" w:cs="Times New Roman"/>
          <w:i/>
          <w:iCs/>
          <w:color w:val="000000" w:themeColor="text1"/>
          <w:sz w:val="24"/>
          <w:szCs w:val="24"/>
        </w:rPr>
        <w:t xml:space="preserve">Social and Personality </w:t>
      </w:r>
    </w:p>
    <w:p w14:paraId="167B6557" w14:textId="24464EED" w:rsidR="00E36AF7" w:rsidRDefault="00E36AF7" w:rsidP="00D80DF6">
      <w:pPr>
        <w:pStyle w:val="CommentText"/>
        <w:spacing w:line="480" w:lineRule="auto"/>
        <w:ind w:firstLine="720"/>
        <w:rPr>
          <w:rFonts w:ascii="Times New Roman" w:hAnsi="Times New Roman" w:cs="Times New Roman"/>
          <w:color w:val="000000" w:themeColor="text1"/>
          <w:sz w:val="24"/>
          <w:szCs w:val="24"/>
        </w:rPr>
      </w:pPr>
      <w:r w:rsidRPr="00D80DF6">
        <w:rPr>
          <w:rFonts w:ascii="Times New Roman" w:hAnsi="Times New Roman" w:cs="Times New Roman"/>
          <w:i/>
          <w:iCs/>
          <w:color w:val="000000" w:themeColor="text1"/>
          <w:sz w:val="24"/>
          <w:szCs w:val="24"/>
        </w:rPr>
        <w:t>Psychology Compass</w:t>
      </w:r>
      <w:r w:rsidRPr="00E36AF7">
        <w:rPr>
          <w:rFonts w:ascii="Times New Roman" w:hAnsi="Times New Roman" w:cs="Times New Roman"/>
          <w:color w:val="000000" w:themeColor="text1"/>
          <w:sz w:val="24"/>
          <w:szCs w:val="24"/>
        </w:rPr>
        <w:t>, 11, e12331.</w:t>
      </w:r>
      <w:r>
        <w:rPr>
          <w:rFonts w:ascii="Times New Roman" w:hAnsi="Times New Roman" w:cs="Times New Roman"/>
          <w:color w:val="000000" w:themeColor="text1"/>
          <w:sz w:val="24"/>
          <w:szCs w:val="24"/>
        </w:rPr>
        <w:t xml:space="preserve"> </w:t>
      </w:r>
      <w:r w:rsidRPr="00E36AF7">
        <w:rPr>
          <w:rFonts w:ascii="Times New Roman" w:hAnsi="Times New Roman" w:cs="Times New Roman"/>
          <w:color w:val="000000" w:themeColor="text1"/>
          <w:sz w:val="24"/>
          <w:szCs w:val="24"/>
        </w:rPr>
        <w:t>https://doi.org/10.1111/spc3.12331</w:t>
      </w:r>
    </w:p>
    <w:p w14:paraId="08A4CB7E" w14:textId="5F3F3259" w:rsidR="000368D0" w:rsidRDefault="000368D0" w:rsidP="002936DE">
      <w:pPr>
        <w:pStyle w:val="CommentText"/>
        <w:spacing w:line="480" w:lineRule="auto"/>
        <w:rPr>
          <w:rFonts w:ascii="Times New Roman" w:hAnsi="Times New Roman" w:cs="Times New Roman"/>
          <w:color w:val="000000" w:themeColor="text1"/>
          <w:sz w:val="24"/>
          <w:szCs w:val="24"/>
        </w:rPr>
      </w:pPr>
      <w:r w:rsidRPr="00795400">
        <w:rPr>
          <w:rFonts w:ascii="Times New Roman" w:hAnsi="Times New Roman" w:cs="Times New Roman"/>
          <w:color w:val="000000" w:themeColor="text1"/>
          <w:sz w:val="24"/>
          <w:szCs w:val="24"/>
        </w:rPr>
        <w:t xml:space="preserve">Moore, D. A., Swift, S. A., Minster, A., </w:t>
      </w:r>
      <w:proofErr w:type="spellStart"/>
      <w:r w:rsidRPr="00795400">
        <w:rPr>
          <w:rFonts w:ascii="Times New Roman" w:hAnsi="Times New Roman" w:cs="Times New Roman"/>
          <w:color w:val="000000" w:themeColor="text1"/>
          <w:sz w:val="24"/>
          <w:szCs w:val="24"/>
        </w:rPr>
        <w:t>Mellers</w:t>
      </w:r>
      <w:proofErr w:type="spellEnd"/>
      <w:r w:rsidRPr="00795400">
        <w:rPr>
          <w:rFonts w:ascii="Times New Roman" w:hAnsi="Times New Roman" w:cs="Times New Roman"/>
          <w:color w:val="000000" w:themeColor="text1"/>
          <w:sz w:val="24"/>
          <w:szCs w:val="24"/>
        </w:rPr>
        <w:t xml:space="preserve">, B., Ungar, L., </w:t>
      </w:r>
      <w:proofErr w:type="spellStart"/>
      <w:r w:rsidRPr="00795400">
        <w:rPr>
          <w:rFonts w:ascii="Times New Roman" w:hAnsi="Times New Roman" w:cs="Times New Roman"/>
          <w:color w:val="000000" w:themeColor="text1"/>
          <w:sz w:val="24"/>
          <w:szCs w:val="24"/>
        </w:rPr>
        <w:t>Tetlock</w:t>
      </w:r>
      <w:proofErr w:type="spellEnd"/>
      <w:r w:rsidRPr="00795400">
        <w:rPr>
          <w:rFonts w:ascii="Times New Roman" w:hAnsi="Times New Roman" w:cs="Times New Roman"/>
          <w:color w:val="000000" w:themeColor="text1"/>
          <w:sz w:val="24"/>
          <w:szCs w:val="24"/>
        </w:rPr>
        <w:t xml:space="preserve">, P., ... &amp; </w:t>
      </w:r>
      <w:proofErr w:type="spellStart"/>
      <w:r w:rsidRPr="00795400">
        <w:rPr>
          <w:rFonts w:ascii="Times New Roman" w:hAnsi="Times New Roman" w:cs="Times New Roman"/>
          <w:color w:val="000000" w:themeColor="text1"/>
          <w:sz w:val="24"/>
          <w:szCs w:val="24"/>
        </w:rPr>
        <w:t>Tenney</w:t>
      </w:r>
      <w:proofErr w:type="spellEnd"/>
      <w:r w:rsidRPr="00795400">
        <w:rPr>
          <w:rFonts w:ascii="Times New Roman" w:hAnsi="Times New Roman" w:cs="Times New Roman"/>
          <w:color w:val="000000" w:themeColor="text1"/>
          <w:sz w:val="24"/>
          <w:szCs w:val="24"/>
        </w:rPr>
        <w:t xml:space="preserve">, E. R. </w:t>
      </w:r>
    </w:p>
    <w:p w14:paraId="351F5B85" w14:textId="77777777" w:rsidR="000368D0" w:rsidRPr="00795400" w:rsidRDefault="000368D0" w:rsidP="002936DE">
      <w:pPr>
        <w:pStyle w:val="CommentText"/>
        <w:spacing w:line="480" w:lineRule="auto"/>
        <w:ind w:left="720"/>
        <w:rPr>
          <w:rFonts w:ascii="Times New Roman" w:hAnsi="Times New Roman" w:cs="Times New Roman"/>
          <w:color w:val="000000" w:themeColor="text1"/>
          <w:sz w:val="24"/>
          <w:szCs w:val="24"/>
        </w:rPr>
      </w:pPr>
      <w:r w:rsidRPr="00795400">
        <w:rPr>
          <w:rFonts w:ascii="Times New Roman" w:hAnsi="Times New Roman" w:cs="Times New Roman"/>
          <w:color w:val="000000" w:themeColor="text1"/>
          <w:sz w:val="24"/>
          <w:szCs w:val="24"/>
        </w:rPr>
        <w:t xml:space="preserve">(2017). Confidence calibration in a multiyear geopolitical forecasting competition. </w:t>
      </w:r>
      <w:r w:rsidRPr="00795400">
        <w:rPr>
          <w:rFonts w:ascii="Times New Roman" w:hAnsi="Times New Roman" w:cs="Times New Roman"/>
          <w:i/>
          <w:iCs/>
          <w:color w:val="000000" w:themeColor="text1"/>
          <w:sz w:val="24"/>
          <w:szCs w:val="24"/>
        </w:rPr>
        <w:t>Management Science, 63</w:t>
      </w:r>
      <w:r w:rsidRPr="00795400">
        <w:rPr>
          <w:rFonts w:ascii="Times New Roman" w:hAnsi="Times New Roman" w:cs="Times New Roman"/>
          <w:color w:val="000000" w:themeColor="text1"/>
          <w:sz w:val="24"/>
          <w:szCs w:val="24"/>
        </w:rPr>
        <w:t>, 3552-3565. https://doi.org/10.1287/mnsc.2016.2525</w:t>
      </w:r>
    </w:p>
    <w:p w14:paraId="0F06C061" w14:textId="77777777" w:rsidR="000368D0" w:rsidRDefault="000368D0" w:rsidP="002936DE">
      <w:pPr>
        <w:pStyle w:val="CommentText"/>
        <w:spacing w:line="480" w:lineRule="auto"/>
        <w:rPr>
          <w:rFonts w:ascii="Times New Roman" w:hAnsi="Times New Roman" w:cs="Times New Roman"/>
          <w:color w:val="000000" w:themeColor="text1"/>
          <w:sz w:val="24"/>
          <w:szCs w:val="24"/>
        </w:rPr>
      </w:pPr>
      <w:proofErr w:type="spellStart"/>
      <w:r w:rsidRPr="00795400">
        <w:rPr>
          <w:rFonts w:ascii="Times New Roman" w:hAnsi="Times New Roman" w:cs="Times New Roman"/>
          <w:color w:val="000000" w:themeColor="text1"/>
          <w:sz w:val="24"/>
          <w:szCs w:val="24"/>
        </w:rPr>
        <w:t>Morewedge</w:t>
      </w:r>
      <w:proofErr w:type="spellEnd"/>
      <w:r w:rsidRPr="00795400">
        <w:rPr>
          <w:rFonts w:ascii="Times New Roman" w:hAnsi="Times New Roman" w:cs="Times New Roman"/>
          <w:color w:val="000000" w:themeColor="text1"/>
          <w:sz w:val="24"/>
          <w:szCs w:val="24"/>
        </w:rPr>
        <w:t xml:space="preserve">, C. K. (In press). Utility: Anticipated, Experienced, and Remembered. In G. Keren </w:t>
      </w:r>
    </w:p>
    <w:p w14:paraId="110F1285" w14:textId="77777777" w:rsidR="000368D0" w:rsidRPr="00795400" w:rsidRDefault="000368D0" w:rsidP="002936DE">
      <w:pPr>
        <w:pStyle w:val="CommentText"/>
        <w:spacing w:line="480" w:lineRule="auto"/>
        <w:ind w:left="720"/>
        <w:rPr>
          <w:rFonts w:ascii="Times New Roman" w:hAnsi="Times New Roman" w:cs="Times New Roman"/>
          <w:color w:val="000000" w:themeColor="text1"/>
          <w:sz w:val="24"/>
          <w:szCs w:val="24"/>
        </w:rPr>
      </w:pPr>
      <w:r w:rsidRPr="00795400">
        <w:rPr>
          <w:rFonts w:ascii="Times New Roman" w:hAnsi="Times New Roman" w:cs="Times New Roman"/>
          <w:color w:val="000000" w:themeColor="text1"/>
          <w:sz w:val="24"/>
          <w:szCs w:val="24"/>
        </w:rPr>
        <w:t xml:space="preserve">and G. Wu (Eds.), </w:t>
      </w:r>
      <w:r w:rsidRPr="00795400">
        <w:rPr>
          <w:rFonts w:ascii="Times New Roman" w:hAnsi="Times New Roman" w:cs="Times New Roman"/>
          <w:i/>
          <w:iCs/>
          <w:color w:val="000000" w:themeColor="text1"/>
          <w:sz w:val="24"/>
          <w:szCs w:val="24"/>
        </w:rPr>
        <w:t>Blackwell Handbook of Judgment and Decision Making</w:t>
      </w:r>
      <w:r w:rsidRPr="00795400">
        <w:rPr>
          <w:rFonts w:ascii="Times New Roman" w:hAnsi="Times New Roman" w:cs="Times New Roman"/>
          <w:color w:val="000000" w:themeColor="text1"/>
          <w:sz w:val="24"/>
          <w:szCs w:val="24"/>
        </w:rPr>
        <w:t>, 2</w:t>
      </w:r>
      <w:r w:rsidRPr="00795400">
        <w:rPr>
          <w:rFonts w:ascii="Times New Roman" w:hAnsi="Times New Roman" w:cs="Times New Roman"/>
          <w:color w:val="000000" w:themeColor="text1"/>
          <w:sz w:val="24"/>
          <w:szCs w:val="24"/>
          <w:vertAlign w:val="superscript"/>
        </w:rPr>
        <w:t>nd</w:t>
      </w:r>
      <w:r>
        <w:rPr>
          <w:rFonts w:ascii="Times New Roman" w:hAnsi="Times New Roman" w:cs="Times New Roman"/>
          <w:color w:val="000000" w:themeColor="text1"/>
          <w:sz w:val="24"/>
          <w:szCs w:val="24"/>
        </w:rPr>
        <w:t xml:space="preserve"> </w:t>
      </w:r>
      <w:r w:rsidRPr="00795400">
        <w:rPr>
          <w:rFonts w:ascii="Times New Roman" w:hAnsi="Times New Roman" w:cs="Times New Roman"/>
          <w:color w:val="000000" w:themeColor="text1"/>
          <w:sz w:val="24"/>
          <w:szCs w:val="24"/>
        </w:rPr>
        <w:t>Edition. Malden, MA: Blackwell Press</w:t>
      </w:r>
    </w:p>
    <w:p w14:paraId="0A464486" w14:textId="77777777" w:rsidR="000368D0" w:rsidRDefault="000368D0" w:rsidP="002936DE">
      <w:pPr>
        <w:spacing w:line="480" w:lineRule="auto"/>
        <w:rPr>
          <w:color w:val="000000" w:themeColor="text1"/>
        </w:rPr>
      </w:pPr>
      <w:proofErr w:type="spellStart"/>
      <w:r w:rsidRPr="00795400">
        <w:rPr>
          <w:color w:val="000000" w:themeColor="text1"/>
        </w:rPr>
        <w:t>Norem</w:t>
      </w:r>
      <w:proofErr w:type="spellEnd"/>
      <w:r w:rsidRPr="00795400">
        <w:rPr>
          <w:color w:val="000000" w:themeColor="text1"/>
        </w:rPr>
        <w:t xml:space="preserve">, J. K., &amp; Cantor, N. (1986). Defensive pessimism: Harnessing anxiety as motivation. </w:t>
      </w:r>
    </w:p>
    <w:p w14:paraId="44BF71BE" w14:textId="77777777" w:rsidR="000368D0" w:rsidRPr="00795400" w:rsidRDefault="000368D0" w:rsidP="002936DE">
      <w:pPr>
        <w:spacing w:line="480" w:lineRule="auto"/>
        <w:ind w:firstLine="720"/>
        <w:rPr>
          <w:color w:val="000000" w:themeColor="text1"/>
        </w:rPr>
      </w:pPr>
      <w:r w:rsidRPr="00795400">
        <w:rPr>
          <w:i/>
          <w:iCs/>
          <w:color w:val="000000" w:themeColor="text1"/>
        </w:rPr>
        <w:t>Journal of Personality and Social Psychology, 51</w:t>
      </w:r>
      <w:r w:rsidRPr="00795400">
        <w:rPr>
          <w:color w:val="000000" w:themeColor="text1"/>
        </w:rPr>
        <w:t>, 1208</w:t>
      </w:r>
      <w:r>
        <w:rPr>
          <w:color w:val="000000" w:themeColor="text1"/>
        </w:rPr>
        <w:t>-1217</w:t>
      </w:r>
      <w:r w:rsidRPr="00795400">
        <w:rPr>
          <w:color w:val="000000" w:themeColor="text1"/>
        </w:rPr>
        <w:t>.</w:t>
      </w:r>
    </w:p>
    <w:p w14:paraId="7F7B4E2D" w14:textId="77777777" w:rsidR="000368D0" w:rsidRDefault="000368D0" w:rsidP="002936DE">
      <w:pPr>
        <w:spacing w:line="480" w:lineRule="auto"/>
        <w:rPr>
          <w:color w:val="000000" w:themeColor="text1"/>
          <w:shd w:val="clear" w:color="auto" w:fill="FFFFFF"/>
        </w:rPr>
      </w:pPr>
      <w:r w:rsidRPr="00F006F7">
        <w:rPr>
          <w:color w:val="000000" w:themeColor="text1"/>
          <w:shd w:val="clear" w:color="auto" w:fill="FFFFFF"/>
        </w:rPr>
        <w:t>Open Science Collaboration. (2015). Estimating the reproducibility of psychological</w:t>
      </w:r>
      <w:r w:rsidRPr="00795400">
        <w:rPr>
          <w:color w:val="000000" w:themeColor="text1"/>
          <w:shd w:val="clear" w:color="auto" w:fill="FFFFFF"/>
        </w:rPr>
        <w:t xml:space="preserve"> </w:t>
      </w:r>
    </w:p>
    <w:p w14:paraId="3873117B" w14:textId="77777777" w:rsidR="000368D0" w:rsidRPr="00795400" w:rsidRDefault="000368D0" w:rsidP="002936DE">
      <w:pPr>
        <w:spacing w:line="480" w:lineRule="auto"/>
        <w:ind w:firstLine="720"/>
        <w:rPr>
          <w:color w:val="000000" w:themeColor="text1"/>
        </w:rPr>
      </w:pPr>
      <w:r w:rsidRPr="00F006F7">
        <w:rPr>
          <w:color w:val="000000" w:themeColor="text1"/>
          <w:shd w:val="clear" w:color="auto" w:fill="FFFFFF"/>
        </w:rPr>
        <w:t>science. </w:t>
      </w:r>
      <w:r w:rsidRPr="00F006F7">
        <w:rPr>
          <w:i/>
          <w:iCs/>
          <w:color w:val="000000" w:themeColor="text1"/>
          <w:shd w:val="clear" w:color="auto" w:fill="FFFFFF"/>
        </w:rPr>
        <w:t>Science</w:t>
      </w:r>
      <w:r w:rsidRPr="00F006F7">
        <w:rPr>
          <w:color w:val="000000" w:themeColor="text1"/>
          <w:shd w:val="clear" w:color="auto" w:fill="FFFFFF"/>
        </w:rPr>
        <w:t>, </w:t>
      </w:r>
      <w:r w:rsidRPr="00F006F7">
        <w:rPr>
          <w:i/>
          <w:iCs/>
          <w:color w:val="000000" w:themeColor="text1"/>
          <w:shd w:val="clear" w:color="auto" w:fill="FFFFFF"/>
        </w:rPr>
        <w:t>349</w:t>
      </w:r>
      <w:r w:rsidRPr="00F006F7">
        <w:rPr>
          <w:color w:val="000000" w:themeColor="text1"/>
          <w:shd w:val="clear" w:color="auto" w:fill="FFFFFF"/>
        </w:rPr>
        <w:t>(6251).</w:t>
      </w:r>
      <w:r w:rsidRPr="00795400">
        <w:rPr>
          <w:color w:val="000000" w:themeColor="text1"/>
          <w:shd w:val="clear" w:color="auto" w:fill="FFFFFF"/>
        </w:rPr>
        <w:t xml:space="preserve"> DOI: 10.1126/science.aac4716</w:t>
      </w:r>
    </w:p>
    <w:p w14:paraId="5CB47F1D" w14:textId="77777777" w:rsidR="000368D0" w:rsidRPr="00795400" w:rsidRDefault="000368D0" w:rsidP="002936DE">
      <w:pPr>
        <w:spacing w:line="480" w:lineRule="auto"/>
        <w:rPr>
          <w:color w:val="000000" w:themeColor="text1"/>
        </w:rPr>
      </w:pPr>
      <w:r w:rsidRPr="00795400">
        <w:rPr>
          <w:color w:val="000000" w:themeColor="text1"/>
        </w:rPr>
        <w:t xml:space="preserve">Peterson, C. (2000). The future of optimism. </w:t>
      </w:r>
      <w:r w:rsidRPr="00795400">
        <w:rPr>
          <w:i/>
          <w:iCs/>
          <w:color w:val="000000" w:themeColor="text1"/>
        </w:rPr>
        <w:t xml:space="preserve">American </w:t>
      </w:r>
      <w:r>
        <w:rPr>
          <w:i/>
          <w:iCs/>
          <w:color w:val="000000" w:themeColor="text1"/>
        </w:rPr>
        <w:t>P</w:t>
      </w:r>
      <w:r w:rsidRPr="00795400">
        <w:rPr>
          <w:i/>
          <w:iCs/>
          <w:color w:val="000000" w:themeColor="text1"/>
        </w:rPr>
        <w:t>sychologist, 55</w:t>
      </w:r>
      <w:r w:rsidRPr="00795400">
        <w:rPr>
          <w:color w:val="000000" w:themeColor="text1"/>
        </w:rPr>
        <w:t>(1), 44-55.</w:t>
      </w:r>
    </w:p>
    <w:p w14:paraId="35D821A1" w14:textId="77777777" w:rsidR="000368D0" w:rsidRDefault="000368D0" w:rsidP="002936DE">
      <w:pPr>
        <w:spacing w:line="480" w:lineRule="auto"/>
        <w:rPr>
          <w:color w:val="000000" w:themeColor="text1"/>
        </w:rPr>
      </w:pPr>
      <w:r w:rsidRPr="00795400">
        <w:rPr>
          <w:color w:val="000000" w:themeColor="text1"/>
        </w:rPr>
        <w:t xml:space="preserve">Rose, J. P., Endo, Y., </w:t>
      </w:r>
      <w:proofErr w:type="spellStart"/>
      <w:r w:rsidRPr="00795400">
        <w:rPr>
          <w:color w:val="000000" w:themeColor="text1"/>
        </w:rPr>
        <w:t>Windschitl</w:t>
      </w:r>
      <w:proofErr w:type="spellEnd"/>
      <w:r w:rsidRPr="00795400">
        <w:rPr>
          <w:color w:val="000000" w:themeColor="text1"/>
        </w:rPr>
        <w:t xml:space="preserve">, P. D., &amp; </w:t>
      </w:r>
      <w:proofErr w:type="spellStart"/>
      <w:r w:rsidRPr="00795400">
        <w:rPr>
          <w:color w:val="000000" w:themeColor="text1"/>
        </w:rPr>
        <w:t>Suls</w:t>
      </w:r>
      <w:proofErr w:type="spellEnd"/>
      <w:r w:rsidRPr="00795400">
        <w:rPr>
          <w:color w:val="000000" w:themeColor="text1"/>
        </w:rPr>
        <w:t xml:space="preserve">, J. (2008). Cultural differences in unrealistic </w:t>
      </w:r>
    </w:p>
    <w:p w14:paraId="3F8EE771" w14:textId="77777777" w:rsidR="000368D0" w:rsidRPr="00795400" w:rsidRDefault="000368D0" w:rsidP="002936DE">
      <w:pPr>
        <w:spacing w:line="480" w:lineRule="auto"/>
        <w:ind w:left="720"/>
        <w:rPr>
          <w:color w:val="000000" w:themeColor="text1"/>
        </w:rPr>
      </w:pPr>
      <w:r w:rsidRPr="00795400">
        <w:rPr>
          <w:color w:val="000000" w:themeColor="text1"/>
        </w:rPr>
        <w:lastRenderedPageBreak/>
        <w:t xml:space="preserve">optimism and pessimism: The role of egocentrism and direct versus indirect comparison measures. </w:t>
      </w:r>
      <w:r w:rsidRPr="00795400">
        <w:rPr>
          <w:i/>
          <w:iCs/>
          <w:color w:val="000000" w:themeColor="text1"/>
        </w:rPr>
        <w:t>Personality and Social Psychology Bulletin, 34</w:t>
      </w:r>
      <w:r>
        <w:rPr>
          <w:i/>
          <w:iCs/>
          <w:color w:val="000000" w:themeColor="text1"/>
        </w:rPr>
        <w:t xml:space="preserve">, </w:t>
      </w:r>
      <w:r w:rsidRPr="00795400">
        <w:rPr>
          <w:color w:val="000000" w:themeColor="text1"/>
        </w:rPr>
        <w:t>1236-1248. https://doi.org/10.1177/0146167208319764</w:t>
      </w:r>
    </w:p>
    <w:p w14:paraId="6851BE9A" w14:textId="77777777" w:rsidR="000368D0" w:rsidRDefault="000368D0" w:rsidP="002936DE">
      <w:pPr>
        <w:spacing w:line="480" w:lineRule="auto"/>
        <w:rPr>
          <w:color w:val="000000" w:themeColor="text1"/>
          <w:shd w:val="clear" w:color="auto" w:fill="FFFFFF"/>
        </w:rPr>
      </w:pPr>
      <w:proofErr w:type="spellStart"/>
      <w:r w:rsidRPr="00795400">
        <w:rPr>
          <w:color w:val="000000" w:themeColor="text1"/>
          <w:shd w:val="clear" w:color="auto" w:fill="FFFFFF"/>
        </w:rPr>
        <w:t>Scheier</w:t>
      </w:r>
      <w:proofErr w:type="spellEnd"/>
      <w:r w:rsidRPr="00795400">
        <w:rPr>
          <w:color w:val="000000" w:themeColor="text1"/>
          <w:shd w:val="clear" w:color="auto" w:fill="FFFFFF"/>
        </w:rPr>
        <w:t xml:space="preserve">, M. F., &amp; Carver, C. S. (1993). On the power of positive thinking: The benefits of being </w:t>
      </w:r>
    </w:p>
    <w:p w14:paraId="230A1102" w14:textId="77777777" w:rsidR="000368D0" w:rsidRPr="00795400" w:rsidRDefault="000368D0" w:rsidP="002936DE">
      <w:pPr>
        <w:spacing w:line="480" w:lineRule="auto"/>
        <w:ind w:firstLine="720"/>
        <w:rPr>
          <w:color w:val="000000" w:themeColor="text1"/>
        </w:rPr>
      </w:pPr>
      <w:r w:rsidRPr="00795400">
        <w:rPr>
          <w:color w:val="000000" w:themeColor="text1"/>
          <w:shd w:val="clear" w:color="auto" w:fill="FFFFFF"/>
        </w:rPr>
        <w:t>optimistic. </w:t>
      </w:r>
      <w:r w:rsidRPr="00795400">
        <w:rPr>
          <w:i/>
          <w:iCs/>
          <w:color w:val="000000" w:themeColor="text1"/>
          <w:shd w:val="clear" w:color="auto" w:fill="FFFFFF"/>
        </w:rPr>
        <w:t xml:space="preserve">Current </w:t>
      </w:r>
      <w:r>
        <w:rPr>
          <w:i/>
          <w:iCs/>
          <w:color w:val="000000" w:themeColor="text1"/>
          <w:shd w:val="clear" w:color="auto" w:fill="FFFFFF"/>
        </w:rPr>
        <w:t>D</w:t>
      </w:r>
      <w:r w:rsidRPr="00795400">
        <w:rPr>
          <w:i/>
          <w:iCs/>
          <w:color w:val="000000" w:themeColor="text1"/>
          <w:shd w:val="clear" w:color="auto" w:fill="FFFFFF"/>
        </w:rPr>
        <w:t xml:space="preserve">irections in </w:t>
      </w:r>
      <w:r>
        <w:rPr>
          <w:i/>
          <w:iCs/>
          <w:color w:val="000000" w:themeColor="text1"/>
          <w:shd w:val="clear" w:color="auto" w:fill="FFFFFF"/>
        </w:rPr>
        <w:t>P</w:t>
      </w:r>
      <w:r w:rsidRPr="00795400">
        <w:rPr>
          <w:i/>
          <w:iCs/>
          <w:color w:val="000000" w:themeColor="text1"/>
          <w:shd w:val="clear" w:color="auto" w:fill="FFFFFF"/>
        </w:rPr>
        <w:t xml:space="preserve">sychological </w:t>
      </w:r>
      <w:r>
        <w:rPr>
          <w:i/>
          <w:iCs/>
          <w:color w:val="000000" w:themeColor="text1"/>
          <w:shd w:val="clear" w:color="auto" w:fill="FFFFFF"/>
        </w:rPr>
        <w:t>S</w:t>
      </w:r>
      <w:r w:rsidRPr="00795400">
        <w:rPr>
          <w:i/>
          <w:iCs/>
          <w:color w:val="000000" w:themeColor="text1"/>
          <w:shd w:val="clear" w:color="auto" w:fill="FFFFFF"/>
        </w:rPr>
        <w:t>cience</w:t>
      </w:r>
      <w:r w:rsidRPr="00795400">
        <w:rPr>
          <w:color w:val="000000" w:themeColor="text1"/>
          <w:shd w:val="clear" w:color="auto" w:fill="FFFFFF"/>
        </w:rPr>
        <w:t>, </w:t>
      </w:r>
      <w:r w:rsidRPr="00795400">
        <w:rPr>
          <w:i/>
          <w:iCs/>
          <w:color w:val="000000" w:themeColor="text1"/>
          <w:shd w:val="clear" w:color="auto" w:fill="FFFFFF"/>
        </w:rPr>
        <w:t>2</w:t>
      </w:r>
      <w:r w:rsidRPr="00795400">
        <w:rPr>
          <w:color w:val="000000" w:themeColor="text1"/>
          <w:shd w:val="clear" w:color="auto" w:fill="FFFFFF"/>
        </w:rPr>
        <w:t>(1), 26-30.</w:t>
      </w:r>
    </w:p>
    <w:p w14:paraId="2CC1359B" w14:textId="77777777" w:rsidR="000368D0" w:rsidRDefault="000368D0" w:rsidP="002936DE">
      <w:pPr>
        <w:spacing w:line="480" w:lineRule="auto"/>
        <w:rPr>
          <w:color w:val="000000" w:themeColor="text1"/>
          <w:shd w:val="clear" w:color="auto" w:fill="FFFFFF"/>
        </w:rPr>
      </w:pPr>
      <w:r w:rsidRPr="00795400">
        <w:rPr>
          <w:color w:val="000000" w:themeColor="text1"/>
          <w:shd w:val="clear" w:color="auto" w:fill="FFFFFF"/>
        </w:rPr>
        <w:t>Seligman, M. E. (2006). </w:t>
      </w:r>
      <w:r w:rsidRPr="00795400">
        <w:rPr>
          <w:i/>
          <w:iCs/>
          <w:color w:val="000000" w:themeColor="text1"/>
          <w:shd w:val="clear" w:color="auto" w:fill="FFFFFF"/>
        </w:rPr>
        <w:t>Learned optimism: How to change your mind and your life</w:t>
      </w:r>
      <w:r w:rsidRPr="00795400">
        <w:rPr>
          <w:color w:val="000000" w:themeColor="text1"/>
          <w:shd w:val="clear" w:color="auto" w:fill="FFFFFF"/>
        </w:rPr>
        <w:t xml:space="preserve">. </w:t>
      </w:r>
      <w:r>
        <w:rPr>
          <w:color w:val="000000" w:themeColor="text1"/>
          <w:shd w:val="clear" w:color="auto" w:fill="FFFFFF"/>
        </w:rPr>
        <w:t xml:space="preserve">New York, </w:t>
      </w:r>
    </w:p>
    <w:p w14:paraId="0B324EB5" w14:textId="77777777" w:rsidR="000368D0" w:rsidRPr="00795400" w:rsidRDefault="000368D0" w:rsidP="002936DE">
      <w:pPr>
        <w:spacing w:line="480" w:lineRule="auto"/>
        <w:ind w:firstLine="720"/>
        <w:rPr>
          <w:color w:val="000000" w:themeColor="text1"/>
        </w:rPr>
      </w:pPr>
      <w:r>
        <w:rPr>
          <w:color w:val="000000" w:themeColor="text1"/>
          <w:shd w:val="clear" w:color="auto" w:fill="FFFFFF"/>
        </w:rPr>
        <w:t xml:space="preserve">New York: </w:t>
      </w:r>
      <w:r w:rsidRPr="00795400">
        <w:rPr>
          <w:color w:val="000000" w:themeColor="text1"/>
          <w:shd w:val="clear" w:color="auto" w:fill="FFFFFF"/>
        </w:rPr>
        <w:t>Vintage Books.</w:t>
      </w:r>
    </w:p>
    <w:p w14:paraId="24023B1A" w14:textId="77777777" w:rsidR="000368D0" w:rsidRDefault="000368D0" w:rsidP="002936DE">
      <w:pPr>
        <w:spacing w:line="480" w:lineRule="auto"/>
        <w:rPr>
          <w:color w:val="000000" w:themeColor="text1"/>
          <w:shd w:val="clear" w:color="auto" w:fill="FFFFFF"/>
        </w:rPr>
      </w:pPr>
      <w:proofErr w:type="spellStart"/>
      <w:r w:rsidRPr="00795400">
        <w:rPr>
          <w:color w:val="000000" w:themeColor="text1"/>
          <w:shd w:val="clear" w:color="auto" w:fill="FFFFFF"/>
        </w:rPr>
        <w:t>Sharot</w:t>
      </w:r>
      <w:proofErr w:type="spellEnd"/>
      <w:r w:rsidRPr="00795400">
        <w:rPr>
          <w:color w:val="000000" w:themeColor="text1"/>
          <w:shd w:val="clear" w:color="auto" w:fill="FFFFFF"/>
        </w:rPr>
        <w:t xml:space="preserve">, T., Korn, C. W., &amp; Dolan, R. J. (2011). How unrealistic optimism is maintained in the </w:t>
      </w:r>
    </w:p>
    <w:p w14:paraId="04A21F44" w14:textId="77777777" w:rsidR="000368D0" w:rsidRPr="00795400" w:rsidRDefault="000368D0" w:rsidP="002936DE">
      <w:pPr>
        <w:spacing w:line="480" w:lineRule="auto"/>
        <w:ind w:firstLine="720"/>
        <w:rPr>
          <w:color w:val="000000" w:themeColor="text1"/>
        </w:rPr>
      </w:pPr>
      <w:r w:rsidRPr="00795400">
        <w:rPr>
          <w:color w:val="000000" w:themeColor="text1"/>
          <w:shd w:val="clear" w:color="auto" w:fill="FFFFFF"/>
        </w:rPr>
        <w:t>face of reality. </w:t>
      </w:r>
      <w:r w:rsidRPr="00795400">
        <w:rPr>
          <w:i/>
          <w:iCs/>
          <w:color w:val="000000" w:themeColor="text1"/>
          <w:shd w:val="clear" w:color="auto" w:fill="FFFFFF"/>
        </w:rPr>
        <w:t xml:space="preserve">Nature </w:t>
      </w:r>
      <w:r>
        <w:rPr>
          <w:i/>
          <w:iCs/>
          <w:color w:val="000000" w:themeColor="text1"/>
          <w:shd w:val="clear" w:color="auto" w:fill="FFFFFF"/>
        </w:rPr>
        <w:t>N</w:t>
      </w:r>
      <w:r w:rsidRPr="00795400">
        <w:rPr>
          <w:i/>
          <w:iCs/>
          <w:color w:val="000000" w:themeColor="text1"/>
          <w:shd w:val="clear" w:color="auto" w:fill="FFFFFF"/>
        </w:rPr>
        <w:t>euroscience</w:t>
      </w:r>
      <w:r w:rsidRPr="00795400">
        <w:rPr>
          <w:color w:val="000000" w:themeColor="text1"/>
          <w:shd w:val="clear" w:color="auto" w:fill="FFFFFF"/>
        </w:rPr>
        <w:t>, </w:t>
      </w:r>
      <w:r w:rsidRPr="00795400">
        <w:rPr>
          <w:i/>
          <w:iCs/>
          <w:color w:val="000000" w:themeColor="text1"/>
          <w:shd w:val="clear" w:color="auto" w:fill="FFFFFF"/>
        </w:rPr>
        <w:t>14</w:t>
      </w:r>
      <w:r w:rsidRPr="00795400">
        <w:rPr>
          <w:color w:val="000000" w:themeColor="text1"/>
          <w:shd w:val="clear" w:color="auto" w:fill="FFFFFF"/>
        </w:rPr>
        <w:t>, 1475-1479. https://doi.org/10.1038/nn.2949</w:t>
      </w:r>
    </w:p>
    <w:p w14:paraId="5A96221F" w14:textId="77777777" w:rsidR="000368D0" w:rsidRPr="00795400" w:rsidRDefault="000368D0" w:rsidP="002936DE">
      <w:pPr>
        <w:spacing w:line="480" w:lineRule="auto"/>
        <w:rPr>
          <w:color w:val="000000" w:themeColor="text1"/>
          <w:shd w:val="clear" w:color="auto" w:fill="FFFFFF"/>
        </w:rPr>
      </w:pPr>
      <w:r w:rsidRPr="00795400">
        <w:rPr>
          <w:color w:val="000000" w:themeColor="text1"/>
          <w:shd w:val="clear" w:color="auto" w:fill="FFFFFF"/>
        </w:rPr>
        <w:t xml:space="preserve">Shepperd, J. A., </w:t>
      </w:r>
      <w:proofErr w:type="spellStart"/>
      <w:r w:rsidRPr="00795400">
        <w:rPr>
          <w:color w:val="000000" w:themeColor="text1"/>
          <w:shd w:val="clear" w:color="auto" w:fill="FFFFFF"/>
        </w:rPr>
        <w:t>Falkenstein</w:t>
      </w:r>
      <w:proofErr w:type="spellEnd"/>
      <w:r w:rsidRPr="00795400">
        <w:rPr>
          <w:color w:val="000000" w:themeColor="text1"/>
          <w:shd w:val="clear" w:color="auto" w:fill="FFFFFF"/>
        </w:rPr>
        <w:t xml:space="preserve">, A., &amp; Sweeny, K. (2018). Fluctuations in future outlooks: </w:t>
      </w:r>
    </w:p>
    <w:p w14:paraId="4CA7DA1D" w14:textId="77777777" w:rsidR="000368D0" w:rsidRPr="00795400" w:rsidRDefault="000368D0" w:rsidP="002936DE">
      <w:pPr>
        <w:spacing w:line="480" w:lineRule="auto"/>
        <w:ind w:left="720"/>
        <w:rPr>
          <w:color w:val="000000" w:themeColor="text1"/>
        </w:rPr>
      </w:pPr>
      <w:r w:rsidRPr="00795400">
        <w:rPr>
          <w:color w:val="000000" w:themeColor="text1"/>
          <w:shd w:val="clear" w:color="auto" w:fill="FFFFFF"/>
        </w:rPr>
        <w:t xml:space="preserve">Unrealistic optimism and pessimism in outcome predictions. In G. </w:t>
      </w:r>
      <w:proofErr w:type="spellStart"/>
      <w:r w:rsidRPr="00795400">
        <w:rPr>
          <w:color w:val="000000" w:themeColor="text1"/>
          <w:shd w:val="clear" w:color="auto" w:fill="FFFFFF"/>
        </w:rPr>
        <w:t>Oettingen</w:t>
      </w:r>
      <w:proofErr w:type="spellEnd"/>
      <w:r w:rsidRPr="00795400">
        <w:rPr>
          <w:color w:val="000000" w:themeColor="text1"/>
          <w:shd w:val="clear" w:color="auto" w:fill="FFFFFF"/>
        </w:rPr>
        <w:t xml:space="preserve">, A. T. </w:t>
      </w:r>
      <w:proofErr w:type="spellStart"/>
      <w:r w:rsidRPr="00795400">
        <w:rPr>
          <w:color w:val="000000" w:themeColor="text1"/>
          <w:shd w:val="clear" w:color="auto" w:fill="FFFFFF"/>
        </w:rPr>
        <w:t>Sevincer</w:t>
      </w:r>
      <w:proofErr w:type="spellEnd"/>
      <w:r w:rsidRPr="00795400">
        <w:rPr>
          <w:color w:val="000000" w:themeColor="text1"/>
          <w:shd w:val="clear" w:color="auto" w:fill="FFFFFF"/>
        </w:rPr>
        <w:t>, &amp; P. Gollwitzer (Eds.), </w:t>
      </w:r>
      <w:r w:rsidRPr="00795400">
        <w:rPr>
          <w:i/>
          <w:iCs/>
          <w:color w:val="000000" w:themeColor="text1"/>
          <w:shd w:val="clear" w:color="auto" w:fill="FFFFFF"/>
        </w:rPr>
        <w:t xml:space="preserve">The </w:t>
      </w:r>
      <w:r>
        <w:rPr>
          <w:i/>
          <w:iCs/>
          <w:color w:val="000000" w:themeColor="text1"/>
          <w:shd w:val="clear" w:color="auto" w:fill="FFFFFF"/>
        </w:rPr>
        <w:t>P</w:t>
      </w:r>
      <w:r w:rsidRPr="00795400">
        <w:rPr>
          <w:i/>
          <w:iCs/>
          <w:color w:val="000000" w:themeColor="text1"/>
          <w:shd w:val="clear" w:color="auto" w:fill="FFFFFF"/>
        </w:rPr>
        <w:t xml:space="preserve">sychology of </w:t>
      </w:r>
      <w:r>
        <w:rPr>
          <w:i/>
          <w:iCs/>
          <w:color w:val="000000" w:themeColor="text1"/>
          <w:shd w:val="clear" w:color="auto" w:fill="FFFFFF"/>
        </w:rPr>
        <w:t>T</w:t>
      </w:r>
      <w:r w:rsidRPr="00795400">
        <w:rPr>
          <w:i/>
          <w:iCs/>
          <w:color w:val="000000" w:themeColor="text1"/>
          <w:shd w:val="clear" w:color="auto" w:fill="FFFFFF"/>
        </w:rPr>
        <w:t xml:space="preserve">hinking about the </w:t>
      </w:r>
      <w:r>
        <w:rPr>
          <w:i/>
          <w:iCs/>
          <w:color w:val="000000" w:themeColor="text1"/>
          <w:shd w:val="clear" w:color="auto" w:fill="FFFFFF"/>
        </w:rPr>
        <w:t>F</w:t>
      </w:r>
      <w:r w:rsidRPr="00795400">
        <w:rPr>
          <w:i/>
          <w:iCs/>
          <w:color w:val="000000" w:themeColor="text1"/>
          <w:shd w:val="clear" w:color="auto" w:fill="FFFFFF"/>
        </w:rPr>
        <w:t>uture</w:t>
      </w:r>
      <w:r w:rsidRPr="00795400">
        <w:rPr>
          <w:color w:val="000000" w:themeColor="text1"/>
          <w:shd w:val="clear" w:color="auto" w:fill="FFFFFF"/>
        </w:rPr>
        <w:t> (p. 231–249). The Guilford Press.</w:t>
      </w:r>
    </w:p>
    <w:p w14:paraId="5E675A68" w14:textId="77777777" w:rsidR="000368D0" w:rsidRDefault="000368D0" w:rsidP="002936DE">
      <w:pPr>
        <w:spacing w:line="480" w:lineRule="auto"/>
        <w:rPr>
          <w:color w:val="000000" w:themeColor="text1"/>
          <w:shd w:val="clear" w:color="auto" w:fill="FFFFFF"/>
        </w:rPr>
      </w:pPr>
      <w:r w:rsidRPr="00795400">
        <w:rPr>
          <w:color w:val="000000" w:themeColor="text1"/>
          <w:shd w:val="clear" w:color="auto" w:fill="FFFFFF"/>
        </w:rPr>
        <w:t>Shep</w:t>
      </w:r>
      <w:r>
        <w:rPr>
          <w:color w:val="000000" w:themeColor="text1"/>
          <w:shd w:val="clear" w:color="auto" w:fill="FFFFFF"/>
        </w:rPr>
        <w:t>p</w:t>
      </w:r>
      <w:r w:rsidRPr="00795400">
        <w:rPr>
          <w:color w:val="000000" w:themeColor="text1"/>
          <w:shd w:val="clear" w:color="auto" w:fill="FFFFFF"/>
        </w:rPr>
        <w:t xml:space="preserve">erd, J. A., Waters, E. A., Weinstein, N. D., &amp; Klein, W. M. (2015). A primer on unrealistic </w:t>
      </w:r>
    </w:p>
    <w:p w14:paraId="3E0439BF" w14:textId="77777777" w:rsidR="000368D0" w:rsidRPr="00795400" w:rsidRDefault="000368D0" w:rsidP="002936DE">
      <w:pPr>
        <w:spacing w:line="480" w:lineRule="auto"/>
        <w:ind w:left="720"/>
        <w:rPr>
          <w:color w:val="000000" w:themeColor="text1"/>
        </w:rPr>
      </w:pPr>
      <w:r w:rsidRPr="00795400">
        <w:rPr>
          <w:color w:val="000000" w:themeColor="text1"/>
          <w:shd w:val="clear" w:color="auto" w:fill="FFFFFF"/>
        </w:rPr>
        <w:t>optimism. </w:t>
      </w:r>
      <w:r w:rsidRPr="00795400">
        <w:rPr>
          <w:i/>
          <w:iCs/>
          <w:color w:val="000000" w:themeColor="text1"/>
          <w:shd w:val="clear" w:color="auto" w:fill="FFFFFF"/>
        </w:rPr>
        <w:t>Current</w:t>
      </w:r>
      <w:r>
        <w:rPr>
          <w:i/>
          <w:iCs/>
          <w:color w:val="000000" w:themeColor="text1"/>
          <w:shd w:val="clear" w:color="auto" w:fill="FFFFFF"/>
        </w:rPr>
        <w:t xml:space="preserve"> D</w:t>
      </w:r>
      <w:r w:rsidRPr="00795400">
        <w:rPr>
          <w:i/>
          <w:iCs/>
          <w:color w:val="000000" w:themeColor="text1"/>
          <w:shd w:val="clear" w:color="auto" w:fill="FFFFFF"/>
        </w:rPr>
        <w:t xml:space="preserve">irections in </w:t>
      </w:r>
      <w:r>
        <w:rPr>
          <w:i/>
          <w:iCs/>
          <w:color w:val="000000" w:themeColor="text1"/>
          <w:shd w:val="clear" w:color="auto" w:fill="FFFFFF"/>
        </w:rPr>
        <w:t>P</w:t>
      </w:r>
      <w:r w:rsidRPr="00795400">
        <w:rPr>
          <w:i/>
          <w:iCs/>
          <w:color w:val="000000" w:themeColor="text1"/>
          <w:shd w:val="clear" w:color="auto" w:fill="FFFFFF"/>
        </w:rPr>
        <w:t xml:space="preserve">sychological </w:t>
      </w:r>
      <w:r>
        <w:rPr>
          <w:i/>
          <w:iCs/>
          <w:color w:val="000000" w:themeColor="text1"/>
          <w:shd w:val="clear" w:color="auto" w:fill="FFFFFF"/>
        </w:rPr>
        <w:t>S</w:t>
      </w:r>
      <w:r w:rsidRPr="00795400">
        <w:rPr>
          <w:i/>
          <w:iCs/>
          <w:color w:val="000000" w:themeColor="text1"/>
          <w:shd w:val="clear" w:color="auto" w:fill="FFFFFF"/>
        </w:rPr>
        <w:t>cience</w:t>
      </w:r>
      <w:r w:rsidRPr="00795400">
        <w:rPr>
          <w:color w:val="000000" w:themeColor="text1"/>
          <w:shd w:val="clear" w:color="auto" w:fill="FFFFFF"/>
        </w:rPr>
        <w:t>, </w:t>
      </w:r>
      <w:r w:rsidRPr="00795400">
        <w:rPr>
          <w:i/>
          <w:iCs/>
          <w:color w:val="000000" w:themeColor="text1"/>
          <w:shd w:val="clear" w:color="auto" w:fill="FFFFFF"/>
        </w:rPr>
        <w:t>24</w:t>
      </w:r>
      <w:r w:rsidRPr="00795400">
        <w:rPr>
          <w:color w:val="000000" w:themeColor="text1"/>
          <w:shd w:val="clear" w:color="auto" w:fill="FFFFFF"/>
        </w:rPr>
        <w:t>, 232-237. https://doi.org/10.1177/0963721414568341</w:t>
      </w:r>
    </w:p>
    <w:p w14:paraId="432838CA" w14:textId="77777777" w:rsidR="000368D0" w:rsidRDefault="000368D0" w:rsidP="002936DE">
      <w:pPr>
        <w:spacing w:line="480" w:lineRule="auto"/>
        <w:rPr>
          <w:i/>
          <w:iCs/>
          <w:color w:val="000000" w:themeColor="text1"/>
          <w:shd w:val="clear" w:color="auto" w:fill="FFFFFF"/>
        </w:rPr>
      </w:pPr>
      <w:r w:rsidRPr="00795400">
        <w:rPr>
          <w:color w:val="000000" w:themeColor="text1"/>
          <w:shd w:val="clear" w:color="auto" w:fill="FFFFFF"/>
        </w:rPr>
        <w:t>Soll, J. B., Milkman, K. L., &amp; Payne, J. W. (2015). A user’s guide to debiasing. </w:t>
      </w:r>
      <w:r w:rsidRPr="00795400">
        <w:rPr>
          <w:i/>
          <w:iCs/>
          <w:color w:val="000000" w:themeColor="text1"/>
          <w:shd w:val="clear" w:color="auto" w:fill="FFFFFF"/>
        </w:rPr>
        <w:t xml:space="preserve">The Wiley </w:t>
      </w:r>
    </w:p>
    <w:p w14:paraId="79178681" w14:textId="77777777" w:rsidR="000368D0" w:rsidRPr="00795400" w:rsidRDefault="000368D0" w:rsidP="002936DE">
      <w:pPr>
        <w:spacing w:line="480" w:lineRule="auto"/>
        <w:ind w:firstLine="720"/>
        <w:rPr>
          <w:color w:val="000000" w:themeColor="text1"/>
        </w:rPr>
      </w:pPr>
      <w:r w:rsidRPr="00795400">
        <w:rPr>
          <w:i/>
          <w:iCs/>
          <w:color w:val="000000" w:themeColor="text1"/>
          <w:shd w:val="clear" w:color="auto" w:fill="FFFFFF"/>
        </w:rPr>
        <w:t xml:space="preserve">Blackwell </w:t>
      </w:r>
      <w:r>
        <w:rPr>
          <w:i/>
          <w:iCs/>
          <w:color w:val="000000" w:themeColor="text1"/>
          <w:shd w:val="clear" w:color="auto" w:fill="FFFFFF"/>
        </w:rPr>
        <w:t>H</w:t>
      </w:r>
      <w:r w:rsidRPr="00795400">
        <w:rPr>
          <w:i/>
          <w:iCs/>
          <w:color w:val="000000" w:themeColor="text1"/>
          <w:shd w:val="clear" w:color="auto" w:fill="FFFFFF"/>
        </w:rPr>
        <w:t xml:space="preserve">andbook of </w:t>
      </w:r>
      <w:r>
        <w:rPr>
          <w:i/>
          <w:iCs/>
          <w:color w:val="000000" w:themeColor="text1"/>
          <w:shd w:val="clear" w:color="auto" w:fill="FFFFFF"/>
        </w:rPr>
        <w:t>J</w:t>
      </w:r>
      <w:r w:rsidRPr="00795400">
        <w:rPr>
          <w:i/>
          <w:iCs/>
          <w:color w:val="000000" w:themeColor="text1"/>
          <w:shd w:val="clear" w:color="auto" w:fill="FFFFFF"/>
        </w:rPr>
        <w:t xml:space="preserve">udgment and </w:t>
      </w:r>
      <w:r>
        <w:rPr>
          <w:i/>
          <w:iCs/>
          <w:color w:val="000000" w:themeColor="text1"/>
          <w:shd w:val="clear" w:color="auto" w:fill="FFFFFF"/>
        </w:rPr>
        <w:t>D</w:t>
      </w:r>
      <w:r w:rsidRPr="00795400">
        <w:rPr>
          <w:i/>
          <w:iCs/>
          <w:color w:val="000000" w:themeColor="text1"/>
          <w:shd w:val="clear" w:color="auto" w:fill="FFFFFF"/>
        </w:rPr>
        <w:t xml:space="preserve">ecision </w:t>
      </w:r>
      <w:r>
        <w:rPr>
          <w:i/>
          <w:iCs/>
          <w:color w:val="000000" w:themeColor="text1"/>
          <w:shd w:val="clear" w:color="auto" w:fill="FFFFFF"/>
        </w:rPr>
        <w:t>M</w:t>
      </w:r>
      <w:r w:rsidRPr="00795400">
        <w:rPr>
          <w:i/>
          <w:iCs/>
          <w:color w:val="000000" w:themeColor="text1"/>
          <w:shd w:val="clear" w:color="auto" w:fill="FFFFFF"/>
        </w:rPr>
        <w:t>aking</w:t>
      </w:r>
      <w:r w:rsidRPr="00795400">
        <w:rPr>
          <w:color w:val="000000" w:themeColor="text1"/>
          <w:shd w:val="clear" w:color="auto" w:fill="FFFFFF"/>
        </w:rPr>
        <w:t>, </w:t>
      </w:r>
      <w:r w:rsidRPr="00795400">
        <w:rPr>
          <w:i/>
          <w:iCs/>
          <w:color w:val="000000" w:themeColor="text1"/>
          <w:shd w:val="clear" w:color="auto" w:fill="FFFFFF"/>
        </w:rPr>
        <w:t>2</w:t>
      </w:r>
      <w:r w:rsidRPr="00795400">
        <w:rPr>
          <w:color w:val="000000" w:themeColor="text1"/>
          <w:shd w:val="clear" w:color="auto" w:fill="FFFFFF"/>
        </w:rPr>
        <w:t>, 924-951.</w:t>
      </w:r>
    </w:p>
    <w:p w14:paraId="168FFD00" w14:textId="77777777" w:rsidR="000368D0" w:rsidRDefault="000368D0" w:rsidP="002936DE">
      <w:pPr>
        <w:spacing w:line="480" w:lineRule="auto"/>
        <w:rPr>
          <w:color w:val="000000" w:themeColor="text1"/>
        </w:rPr>
      </w:pPr>
      <w:r w:rsidRPr="00795400">
        <w:rPr>
          <w:color w:val="000000" w:themeColor="text1"/>
        </w:rPr>
        <w:t xml:space="preserve">Sweeny, K., &amp; </w:t>
      </w:r>
      <w:proofErr w:type="spellStart"/>
      <w:r w:rsidRPr="00795400">
        <w:rPr>
          <w:color w:val="000000" w:themeColor="text1"/>
        </w:rPr>
        <w:t>Krizan</w:t>
      </w:r>
      <w:proofErr w:type="spellEnd"/>
      <w:r w:rsidRPr="00795400">
        <w:rPr>
          <w:color w:val="000000" w:themeColor="text1"/>
        </w:rPr>
        <w:t xml:space="preserve">, Z. (2013). Sobering up: A quantitative review of temporal declines in </w:t>
      </w:r>
    </w:p>
    <w:p w14:paraId="2CE99F79" w14:textId="77777777" w:rsidR="000368D0" w:rsidRPr="00795400" w:rsidRDefault="000368D0" w:rsidP="002936DE">
      <w:pPr>
        <w:spacing w:line="480" w:lineRule="auto"/>
        <w:ind w:firstLine="720"/>
        <w:rPr>
          <w:color w:val="000000" w:themeColor="text1"/>
        </w:rPr>
      </w:pPr>
      <w:r w:rsidRPr="00795400">
        <w:rPr>
          <w:color w:val="000000" w:themeColor="text1"/>
        </w:rPr>
        <w:t xml:space="preserve">expectations. </w:t>
      </w:r>
      <w:r w:rsidRPr="00795400">
        <w:rPr>
          <w:i/>
          <w:iCs/>
          <w:color w:val="000000" w:themeColor="text1"/>
        </w:rPr>
        <w:t>Psychological Bulletin, 139</w:t>
      </w:r>
      <w:r w:rsidRPr="00795400">
        <w:rPr>
          <w:color w:val="000000" w:themeColor="text1"/>
        </w:rPr>
        <w:t>(3), 702-724.</w:t>
      </w:r>
    </w:p>
    <w:p w14:paraId="1997C0D2" w14:textId="77777777" w:rsidR="000368D0" w:rsidRDefault="000368D0" w:rsidP="002936DE">
      <w:pPr>
        <w:spacing w:line="480" w:lineRule="auto"/>
        <w:rPr>
          <w:iCs/>
          <w:color w:val="000000" w:themeColor="text1"/>
        </w:rPr>
      </w:pPr>
      <w:proofErr w:type="spellStart"/>
      <w:r w:rsidRPr="00795400">
        <w:rPr>
          <w:iCs/>
          <w:color w:val="000000" w:themeColor="text1"/>
        </w:rPr>
        <w:t>Tenney</w:t>
      </w:r>
      <w:proofErr w:type="spellEnd"/>
      <w:r w:rsidRPr="00795400">
        <w:rPr>
          <w:iCs/>
          <w:color w:val="000000" w:themeColor="text1"/>
        </w:rPr>
        <w:t xml:space="preserve">, E. R., </w:t>
      </w:r>
      <w:proofErr w:type="spellStart"/>
      <w:r w:rsidRPr="00795400">
        <w:rPr>
          <w:iCs/>
          <w:color w:val="000000" w:themeColor="text1"/>
        </w:rPr>
        <w:t>Logg</w:t>
      </w:r>
      <w:proofErr w:type="spellEnd"/>
      <w:r w:rsidRPr="00795400">
        <w:rPr>
          <w:iCs/>
          <w:color w:val="000000" w:themeColor="text1"/>
        </w:rPr>
        <w:t xml:space="preserve">, J. M., &amp; Moore, D. A. (2015). (Too) optimistic about optimism: The belief </w:t>
      </w:r>
    </w:p>
    <w:p w14:paraId="6DCD0649" w14:textId="77777777" w:rsidR="000368D0" w:rsidRPr="00795400" w:rsidRDefault="000368D0" w:rsidP="002936DE">
      <w:pPr>
        <w:spacing w:line="480" w:lineRule="auto"/>
        <w:ind w:left="720"/>
        <w:rPr>
          <w:iCs/>
          <w:color w:val="000000" w:themeColor="text1"/>
        </w:rPr>
      </w:pPr>
      <w:r w:rsidRPr="00795400">
        <w:rPr>
          <w:iCs/>
          <w:color w:val="000000" w:themeColor="text1"/>
        </w:rPr>
        <w:t>that optimism improves performance</w:t>
      </w:r>
      <w:r w:rsidRPr="00795400">
        <w:rPr>
          <w:i/>
          <w:color w:val="000000" w:themeColor="text1"/>
        </w:rPr>
        <w:t>. Journal of Personality and Social Psychology, 108</w:t>
      </w:r>
      <w:r w:rsidRPr="00795400">
        <w:rPr>
          <w:iCs/>
          <w:color w:val="000000" w:themeColor="text1"/>
        </w:rPr>
        <w:t>, 377–399. https://doi.org/10.1037/pspa0000018</w:t>
      </w:r>
    </w:p>
    <w:p w14:paraId="6D772217" w14:textId="77777777" w:rsidR="000368D0" w:rsidRDefault="000368D0" w:rsidP="002936DE">
      <w:pPr>
        <w:spacing w:line="480" w:lineRule="auto"/>
        <w:rPr>
          <w:color w:val="000000" w:themeColor="text1"/>
          <w:shd w:val="clear" w:color="auto" w:fill="FFFFFF"/>
        </w:rPr>
      </w:pPr>
      <w:proofErr w:type="spellStart"/>
      <w:r w:rsidRPr="00795400">
        <w:rPr>
          <w:color w:val="000000" w:themeColor="text1"/>
          <w:shd w:val="clear" w:color="auto" w:fill="FFFFFF"/>
        </w:rPr>
        <w:lastRenderedPageBreak/>
        <w:t>Tetlock</w:t>
      </w:r>
      <w:proofErr w:type="spellEnd"/>
      <w:r w:rsidRPr="00795400">
        <w:rPr>
          <w:color w:val="000000" w:themeColor="text1"/>
          <w:shd w:val="clear" w:color="auto" w:fill="FFFFFF"/>
        </w:rPr>
        <w:t xml:space="preserve">, P. E., &amp; Gardner, D. (2015). </w:t>
      </w:r>
      <w:proofErr w:type="spellStart"/>
      <w:r w:rsidRPr="00795400">
        <w:rPr>
          <w:i/>
          <w:iCs/>
          <w:color w:val="000000" w:themeColor="text1"/>
          <w:shd w:val="clear" w:color="auto" w:fill="FFFFFF"/>
        </w:rPr>
        <w:t>Superforecasting</w:t>
      </w:r>
      <w:proofErr w:type="spellEnd"/>
      <w:r w:rsidRPr="00795400">
        <w:rPr>
          <w:i/>
          <w:iCs/>
          <w:color w:val="000000" w:themeColor="text1"/>
          <w:shd w:val="clear" w:color="auto" w:fill="FFFFFF"/>
        </w:rPr>
        <w:t xml:space="preserve">: The Art and Science of </w:t>
      </w:r>
      <w:r>
        <w:rPr>
          <w:i/>
          <w:iCs/>
          <w:color w:val="000000" w:themeColor="text1"/>
          <w:shd w:val="clear" w:color="auto" w:fill="FFFFFF"/>
        </w:rPr>
        <w:t>P</w:t>
      </w:r>
      <w:r w:rsidRPr="00795400">
        <w:rPr>
          <w:i/>
          <w:iCs/>
          <w:color w:val="000000" w:themeColor="text1"/>
          <w:shd w:val="clear" w:color="auto" w:fill="FFFFFF"/>
        </w:rPr>
        <w:t>rediction.</w:t>
      </w:r>
      <w:r w:rsidRPr="00795400">
        <w:rPr>
          <w:color w:val="000000" w:themeColor="text1"/>
          <w:shd w:val="clear" w:color="auto" w:fill="FFFFFF"/>
        </w:rPr>
        <w:t xml:space="preserve"> New </w:t>
      </w:r>
    </w:p>
    <w:p w14:paraId="0E63CB10" w14:textId="77777777" w:rsidR="000368D0" w:rsidRPr="00795400" w:rsidRDefault="000368D0" w:rsidP="002936DE">
      <w:pPr>
        <w:spacing w:line="480" w:lineRule="auto"/>
        <w:ind w:firstLine="720"/>
        <w:rPr>
          <w:color w:val="000000" w:themeColor="text1"/>
        </w:rPr>
      </w:pPr>
      <w:r w:rsidRPr="00795400">
        <w:rPr>
          <w:color w:val="000000" w:themeColor="text1"/>
          <w:shd w:val="clear" w:color="auto" w:fill="FFFFFF"/>
        </w:rPr>
        <w:t xml:space="preserve">York, </w:t>
      </w:r>
      <w:r>
        <w:rPr>
          <w:color w:val="000000" w:themeColor="text1"/>
          <w:shd w:val="clear" w:color="auto" w:fill="FFFFFF"/>
        </w:rPr>
        <w:t>New York: Crown Publishers.</w:t>
      </w:r>
    </w:p>
    <w:p w14:paraId="2571DE49" w14:textId="77777777" w:rsidR="000368D0" w:rsidRDefault="000368D0" w:rsidP="002936DE">
      <w:pPr>
        <w:spacing w:line="480" w:lineRule="auto"/>
        <w:rPr>
          <w:color w:val="000000" w:themeColor="text1"/>
          <w:shd w:val="clear" w:color="auto" w:fill="FFFFFF"/>
        </w:rPr>
      </w:pPr>
      <w:r w:rsidRPr="00795400">
        <w:rPr>
          <w:color w:val="000000" w:themeColor="text1"/>
          <w:shd w:val="clear" w:color="auto" w:fill="FFFFFF"/>
        </w:rPr>
        <w:t xml:space="preserve">Von Hippel, W., &amp; </w:t>
      </w:r>
      <w:proofErr w:type="spellStart"/>
      <w:r w:rsidRPr="00795400">
        <w:rPr>
          <w:color w:val="000000" w:themeColor="text1"/>
          <w:shd w:val="clear" w:color="auto" w:fill="FFFFFF"/>
        </w:rPr>
        <w:t>Trivers</w:t>
      </w:r>
      <w:proofErr w:type="spellEnd"/>
      <w:r w:rsidRPr="00795400">
        <w:rPr>
          <w:color w:val="000000" w:themeColor="text1"/>
          <w:shd w:val="clear" w:color="auto" w:fill="FFFFFF"/>
        </w:rPr>
        <w:t>, R. (2011). The evolution and psychology of self</w:t>
      </w:r>
      <w:r>
        <w:rPr>
          <w:color w:val="000000" w:themeColor="text1"/>
          <w:shd w:val="clear" w:color="auto" w:fill="FFFFFF"/>
        </w:rPr>
        <w:t xml:space="preserve">-deception. </w:t>
      </w:r>
    </w:p>
    <w:p w14:paraId="1C695636" w14:textId="77777777" w:rsidR="000368D0" w:rsidRPr="00795400" w:rsidRDefault="000368D0" w:rsidP="002936DE">
      <w:pPr>
        <w:spacing w:line="480" w:lineRule="auto"/>
        <w:ind w:firstLine="720"/>
        <w:rPr>
          <w:color w:val="000000" w:themeColor="text1"/>
          <w:shd w:val="clear" w:color="auto" w:fill="FFFFFF"/>
        </w:rPr>
      </w:pPr>
      <w:r w:rsidRPr="00795400">
        <w:rPr>
          <w:i/>
          <w:iCs/>
          <w:color w:val="000000" w:themeColor="text1"/>
          <w:shd w:val="clear" w:color="auto" w:fill="FFFFFF"/>
        </w:rPr>
        <w:t>Behavioral and Brain Sciences, 34</w:t>
      </w:r>
      <w:r>
        <w:rPr>
          <w:color w:val="000000" w:themeColor="text1"/>
          <w:shd w:val="clear" w:color="auto" w:fill="FFFFFF"/>
        </w:rPr>
        <w:t>(1), 1-16.</w:t>
      </w:r>
    </w:p>
    <w:p w14:paraId="101D183B" w14:textId="77777777" w:rsidR="000368D0" w:rsidRDefault="000368D0" w:rsidP="002936DE">
      <w:pPr>
        <w:spacing w:line="480" w:lineRule="auto"/>
        <w:rPr>
          <w:color w:val="000000" w:themeColor="text1"/>
        </w:rPr>
      </w:pPr>
      <w:r w:rsidRPr="00795400">
        <w:rPr>
          <w:color w:val="000000" w:themeColor="text1"/>
        </w:rPr>
        <w:t xml:space="preserve">Weber, E. U. (1994). From subjective probabilities to decision weights: The effect of asymmetric </w:t>
      </w:r>
    </w:p>
    <w:p w14:paraId="47375544" w14:textId="77777777" w:rsidR="000368D0" w:rsidRPr="00795400" w:rsidRDefault="000368D0" w:rsidP="002936DE">
      <w:pPr>
        <w:spacing w:line="480" w:lineRule="auto"/>
        <w:ind w:left="720"/>
        <w:rPr>
          <w:color w:val="000000" w:themeColor="text1"/>
        </w:rPr>
      </w:pPr>
      <w:r w:rsidRPr="00795400">
        <w:rPr>
          <w:color w:val="000000" w:themeColor="text1"/>
        </w:rPr>
        <w:t>loss functions on the evaluation of uncertain outcomes and events. </w:t>
      </w:r>
      <w:r w:rsidRPr="00795400">
        <w:rPr>
          <w:i/>
          <w:iCs/>
          <w:color w:val="000000" w:themeColor="text1"/>
        </w:rPr>
        <w:t>Psychological Bulletin, 115</w:t>
      </w:r>
      <w:r w:rsidRPr="00795400">
        <w:rPr>
          <w:color w:val="000000" w:themeColor="text1"/>
        </w:rPr>
        <w:t>, 228–242. https://doi.org/10.1037/0033-2909.115.2.228</w:t>
      </w:r>
    </w:p>
    <w:p w14:paraId="3F403CA7" w14:textId="77777777" w:rsidR="003D2A56" w:rsidRDefault="003D2A56" w:rsidP="002936DE">
      <w:pPr>
        <w:spacing w:line="480" w:lineRule="auto"/>
        <w:rPr>
          <w:color w:val="000000" w:themeColor="text1"/>
        </w:rPr>
      </w:pPr>
      <w:r w:rsidRPr="003D2A56">
        <w:rPr>
          <w:color w:val="000000" w:themeColor="text1"/>
        </w:rPr>
        <w:t xml:space="preserve">Willard, G., &amp; </w:t>
      </w:r>
      <w:proofErr w:type="spellStart"/>
      <w:r w:rsidRPr="003D2A56">
        <w:rPr>
          <w:color w:val="000000" w:themeColor="text1"/>
        </w:rPr>
        <w:t>Gramzow</w:t>
      </w:r>
      <w:proofErr w:type="spellEnd"/>
      <w:r w:rsidRPr="003D2A56">
        <w:rPr>
          <w:color w:val="000000" w:themeColor="text1"/>
        </w:rPr>
        <w:t xml:space="preserve">, R. H. (2009). Beyond oversights, lies, and pies in the sky: </w:t>
      </w:r>
    </w:p>
    <w:p w14:paraId="641FB4F8" w14:textId="599188F6" w:rsidR="003D2A56" w:rsidRDefault="003D2A56" w:rsidP="00D80DF6">
      <w:pPr>
        <w:spacing w:line="480" w:lineRule="auto"/>
        <w:ind w:left="720"/>
        <w:rPr>
          <w:color w:val="000000" w:themeColor="text1"/>
        </w:rPr>
      </w:pPr>
      <w:r w:rsidRPr="003D2A56">
        <w:rPr>
          <w:color w:val="000000" w:themeColor="text1"/>
        </w:rPr>
        <w:t xml:space="preserve">Exaggeration as goal projection. </w:t>
      </w:r>
      <w:r w:rsidRPr="00D80DF6">
        <w:rPr>
          <w:i/>
          <w:iCs/>
          <w:color w:val="000000" w:themeColor="text1"/>
        </w:rPr>
        <w:t>Personality and Social Psychology Bulletin, 35</w:t>
      </w:r>
      <w:r w:rsidRPr="003D2A56">
        <w:rPr>
          <w:color w:val="000000" w:themeColor="text1"/>
        </w:rPr>
        <w:t>, 477-492.</w:t>
      </w:r>
      <w:r>
        <w:rPr>
          <w:color w:val="000000" w:themeColor="text1"/>
        </w:rPr>
        <w:t xml:space="preserve"> </w:t>
      </w:r>
      <w:r w:rsidRPr="003D2A56">
        <w:rPr>
          <w:color w:val="000000" w:themeColor="text1"/>
        </w:rPr>
        <w:t>https://doi.org/10.1177/0146167208329631</w:t>
      </w:r>
    </w:p>
    <w:p w14:paraId="5433E176" w14:textId="43064F5F" w:rsidR="00EC791C" w:rsidRDefault="00EC791C" w:rsidP="002936DE">
      <w:pPr>
        <w:spacing w:line="480" w:lineRule="auto"/>
        <w:rPr>
          <w:i/>
          <w:iCs/>
          <w:color w:val="000000" w:themeColor="text1"/>
        </w:rPr>
      </w:pPr>
      <w:proofErr w:type="spellStart"/>
      <w:r w:rsidRPr="00EC791C">
        <w:rPr>
          <w:color w:val="000000" w:themeColor="text1"/>
        </w:rPr>
        <w:t>Windschitl</w:t>
      </w:r>
      <w:proofErr w:type="spellEnd"/>
      <w:r w:rsidRPr="00EC791C">
        <w:rPr>
          <w:color w:val="000000" w:themeColor="text1"/>
        </w:rPr>
        <w:t xml:space="preserve">, P. D., &amp; O’Rourke, J. L. (2015). Optimism biases: types and causes. </w:t>
      </w:r>
      <w:r w:rsidRPr="00D80DF6">
        <w:rPr>
          <w:i/>
          <w:iCs/>
          <w:color w:val="000000" w:themeColor="text1"/>
        </w:rPr>
        <w:t xml:space="preserve">Blackwell </w:t>
      </w:r>
    </w:p>
    <w:p w14:paraId="0F630808" w14:textId="303DF6DA" w:rsidR="00EC791C" w:rsidRDefault="00EC791C" w:rsidP="00D80DF6">
      <w:pPr>
        <w:spacing w:line="480" w:lineRule="auto"/>
        <w:ind w:left="720"/>
        <w:rPr>
          <w:color w:val="000000" w:themeColor="text1"/>
        </w:rPr>
      </w:pPr>
      <w:r w:rsidRPr="00D80DF6">
        <w:rPr>
          <w:i/>
          <w:iCs/>
          <w:color w:val="000000" w:themeColor="text1"/>
        </w:rPr>
        <w:t>Handbook of Judgment and Decision Making</w:t>
      </w:r>
      <w:r w:rsidRPr="00EC791C">
        <w:rPr>
          <w:color w:val="000000" w:themeColor="text1"/>
        </w:rPr>
        <w:t>, Wiley, New York, 431-455.</w:t>
      </w:r>
      <w:r>
        <w:rPr>
          <w:color w:val="000000" w:themeColor="text1"/>
        </w:rPr>
        <w:t xml:space="preserve"> </w:t>
      </w:r>
      <w:r w:rsidRPr="00EC791C">
        <w:rPr>
          <w:color w:val="000000" w:themeColor="text1"/>
        </w:rPr>
        <w:t>https://doi.org/10.1002/9781118468333.ch15</w:t>
      </w:r>
    </w:p>
    <w:p w14:paraId="30CEF6A2" w14:textId="780FC0C4" w:rsidR="000368D0" w:rsidRDefault="000368D0" w:rsidP="002936DE">
      <w:pPr>
        <w:spacing w:line="480" w:lineRule="auto"/>
        <w:rPr>
          <w:color w:val="000000" w:themeColor="text1"/>
        </w:rPr>
      </w:pPr>
      <w:proofErr w:type="spellStart"/>
      <w:r w:rsidRPr="00795400">
        <w:rPr>
          <w:color w:val="000000" w:themeColor="text1"/>
        </w:rPr>
        <w:t>Windschitl</w:t>
      </w:r>
      <w:proofErr w:type="spellEnd"/>
      <w:r w:rsidRPr="00795400">
        <w:rPr>
          <w:color w:val="000000" w:themeColor="text1"/>
        </w:rPr>
        <w:t xml:space="preserve">, P. D., Smith, A. R., Rose, J. P., &amp; </w:t>
      </w:r>
      <w:proofErr w:type="spellStart"/>
      <w:r w:rsidRPr="00795400">
        <w:rPr>
          <w:color w:val="000000" w:themeColor="text1"/>
        </w:rPr>
        <w:t>Krizan</w:t>
      </w:r>
      <w:proofErr w:type="spellEnd"/>
      <w:r w:rsidRPr="00795400">
        <w:rPr>
          <w:color w:val="000000" w:themeColor="text1"/>
        </w:rPr>
        <w:t xml:space="preserve">, Z. (2010). The desirability bias in </w:t>
      </w:r>
    </w:p>
    <w:p w14:paraId="0ED87208" w14:textId="77777777" w:rsidR="000368D0" w:rsidRPr="00795400" w:rsidRDefault="000368D0" w:rsidP="002936DE">
      <w:pPr>
        <w:spacing w:line="480" w:lineRule="auto"/>
        <w:ind w:left="720"/>
        <w:rPr>
          <w:color w:val="000000" w:themeColor="text1"/>
        </w:rPr>
      </w:pPr>
      <w:r w:rsidRPr="00795400">
        <w:rPr>
          <w:color w:val="000000" w:themeColor="text1"/>
        </w:rPr>
        <w:t xml:space="preserve">predictions: Going optimistic without leaving realism. </w:t>
      </w:r>
      <w:r w:rsidRPr="00795400">
        <w:rPr>
          <w:i/>
          <w:iCs/>
          <w:color w:val="000000" w:themeColor="text1"/>
        </w:rPr>
        <w:t>Organizational Behavior and Human Decision Processes, 111</w:t>
      </w:r>
      <w:r w:rsidRPr="00795400">
        <w:rPr>
          <w:color w:val="000000" w:themeColor="text1"/>
        </w:rPr>
        <w:t>, 33-47. https://doi.org/10.1016/j.obhdp.2009.08.003</w:t>
      </w:r>
    </w:p>
    <w:p w14:paraId="209B53D5" w14:textId="77777777" w:rsidR="000368D0" w:rsidRDefault="000368D0" w:rsidP="002936DE">
      <w:pPr>
        <w:spacing w:line="480" w:lineRule="auto"/>
        <w:rPr>
          <w:i/>
          <w:iCs/>
          <w:color w:val="000000" w:themeColor="text1"/>
          <w:shd w:val="clear" w:color="auto" w:fill="FFFFFF"/>
        </w:rPr>
      </w:pPr>
      <w:r w:rsidRPr="00795400">
        <w:rPr>
          <w:color w:val="000000" w:themeColor="text1"/>
          <w:shd w:val="clear" w:color="auto" w:fill="FFFFFF"/>
        </w:rPr>
        <w:t xml:space="preserve">Zhang, Y., &amp; </w:t>
      </w:r>
      <w:proofErr w:type="spellStart"/>
      <w:r w:rsidRPr="00795400">
        <w:rPr>
          <w:color w:val="000000" w:themeColor="text1"/>
          <w:shd w:val="clear" w:color="auto" w:fill="FFFFFF"/>
        </w:rPr>
        <w:t>Fishbach</w:t>
      </w:r>
      <w:proofErr w:type="spellEnd"/>
      <w:r w:rsidRPr="00795400">
        <w:rPr>
          <w:color w:val="000000" w:themeColor="text1"/>
          <w:shd w:val="clear" w:color="auto" w:fill="FFFFFF"/>
        </w:rPr>
        <w:t>, A. (2010). Counteracting obstacles with optimistic predictions. </w:t>
      </w:r>
      <w:r w:rsidRPr="00795400">
        <w:rPr>
          <w:i/>
          <w:iCs/>
          <w:color w:val="000000" w:themeColor="text1"/>
          <w:shd w:val="clear" w:color="auto" w:fill="FFFFFF"/>
        </w:rPr>
        <w:t xml:space="preserve">Journal </w:t>
      </w:r>
    </w:p>
    <w:p w14:paraId="01EBCB54" w14:textId="77777777" w:rsidR="000368D0" w:rsidRPr="00795400" w:rsidRDefault="000368D0" w:rsidP="002936DE">
      <w:pPr>
        <w:spacing w:line="480" w:lineRule="auto"/>
        <w:ind w:firstLine="720"/>
        <w:rPr>
          <w:color w:val="000000" w:themeColor="text1"/>
        </w:rPr>
      </w:pPr>
      <w:r w:rsidRPr="00795400">
        <w:rPr>
          <w:i/>
          <w:iCs/>
          <w:color w:val="000000" w:themeColor="text1"/>
          <w:shd w:val="clear" w:color="auto" w:fill="FFFFFF"/>
        </w:rPr>
        <w:t>of Experimental Psychology: General, 139</w:t>
      </w:r>
      <w:r w:rsidRPr="00795400">
        <w:rPr>
          <w:color w:val="000000" w:themeColor="text1"/>
          <w:shd w:val="clear" w:color="auto" w:fill="FFFFFF"/>
        </w:rPr>
        <w:t>, 16–31. https://doi.org/10.1037/a0018143</w:t>
      </w:r>
    </w:p>
    <w:p w14:paraId="46CFDA9B" w14:textId="41BA471E" w:rsidR="000368D0" w:rsidRDefault="000368D0" w:rsidP="002936DE">
      <w:pPr>
        <w:spacing w:line="480" w:lineRule="auto"/>
      </w:pPr>
    </w:p>
    <w:p w14:paraId="224720E4" w14:textId="1DC5A040" w:rsidR="00155A7B" w:rsidRDefault="00155A7B" w:rsidP="002936DE">
      <w:pPr>
        <w:spacing w:line="480" w:lineRule="auto"/>
      </w:pPr>
    </w:p>
    <w:p w14:paraId="41A16D6C" w14:textId="68EFAE96" w:rsidR="00155A7B" w:rsidRDefault="00155A7B" w:rsidP="002936DE">
      <w:pPr>
        <w:spacing w:line="480" w:lineRule="auto"/>
      </w:pPr>
    </w:p>
    <w:p w14:paraId="4E098EFA" w14:textId="5FBEE888" w:rsidR="00155A7B" w:rsidRDefault="00155A7B" w:rsidP="002936DE">
      <w:pPr>
        <w:spacing w:line="480" w:lineRule="auto"/>
      </w:pPr>
    </w:p>
    <w:p w14:paraId="39EB8FD5" w14:textId="1CF9C3D6" w:rsidR="00155A7B" w:rsidRDefault="00155A7B" w:rsidP="002936DE">
      <w:pPr>
        <w:spacing w:line="480" w:lineRule="auto"/>
      </w:pPr>
    </w:p>
    <w:p w14:paraId="34DA99F9" w14:textId="4151A5E5" w:rsidR="00155A7B" w:rsidRDefault="00155A7B" w:rsidP="002936DE">
      <w:pPr>
        <w:spacing w:line="480" w:lineRule="auto"/>
      </w:pPr>
    </w:p>
    <w:p w14:paraId="7456241F" w14:textId="27B4A29D" w:rsidR="00155A7B" w:rsidRDefault="00155A7B" w:rsidP="002936DE">
      <w:pPr>
        <w:spacing w:line="480" w:lineRule="auto"/>
      </w:pPr>
    </w:p>
    <w:p w14:paraId="57CF237F" w14:textId="40919D66" w:rsidR="00155A7B" w:rsidRDefault="00155A7B" w:rsidP="002936DE">
      <w:pPr>
        <w:spacing w:line="480" w:lineRule="auto"/>
      </w:pPr>
    </w:p>
    <w:p w14:paraId="2D5018DD" w14:textId="74D6A2B6" w:rsidR="00155A7B" w:rsidRDefault="00155A7B" w:rsidP="002936DE">
      <w:pPr>
        <w:spacing w:line="480" w:lineRule="auto"/>
      </w:pPr>
    </w:p>
    <w:p w14:paraId="692D0472" w14:textId="7F106BA4" w:rsidR="00155A7B" w:rsidRDefault="00155A7B" w:rsidP="002936DE">
      <w:pPr>
        <w:spacing w:line="480" w:lineRule="auto"/>
      </w:pPr>
    </w:p>
    <w:p w14:paraId="33FE77CD" w14:textId="4446CBD0" w:rsidR="00155A7B" w:rsidRDefault="00155A7B" w:rsidP="002936DE">
      <w:pPr>
        <w:spacing w:line="480" w:lineRule="auto"/>
      </w:pPr>
    </w:p>
    <w:p w14:paraId="6B05CA52" w14:textId="582F8ADF" w:rsidR="00155A7B" w:rsidRDefault="00155A7B" w:rsidP="002936DE">
      <w:pPr>
        <w:spacing w:line="480" w:lineRule="auto"/>
      </w:pPr>
    </w:p>
    <w:p w14:paraId="32EF7A2F" w14:textId="282F2981" w:rsidR="00155A7B" w:rsidRDefault="00155A7B" w:rsidP="002936DE">
      <w:pPr>
        <w:spacing w:line="480" w:lineRule="auto"/>
      </w:pPr>
    </w:p>
    <w:p w14:paraId="3457F7D4" w14:textId="2DCB622C" w:rsidR="00155A7B" w:rsidRDefault="00155A7B" w:rsidP="002936DE">
      <w:pPr>
        <w:spacing w:line="480" w:lineRule="auto"/>
      </w:pPr>
    </w:p>
    <w:p w14:paraId="6E8209DF" w14:textId="0DC1B2B1" w:rsidR="00155A7B" w:rsidRDefault="00155A7B" w:rsidP="002936DE">
      <w:pPr>
        <w:spacing w:line="480" w:lineRule="auto"/>
      </w:pPr>
    </w:p>
    <w:p w14:paraId="5AF0DB62" w14:textId="651D2973" w:rsidR="00155A7B" w:rsidRDefault="00155A7B" w:rsidP="002936DE">
      <w:pPr>
        <w:spacing w:line="480" w:lineRule="auto"/>
      </w:pPr>
    </w:p>
    <w:p w14:paraId="2ACBFB5E" w14:textId="6E770FC6" w:rsidR="00155A7B" w:rsidRDefault="00155A7B" w:rsidP="002936DE">
      <w:pPr>
        <w:spacing w:line="480" w:lineRule="auto"/>
      </w:pPr>
    </w:p>
    <w:p w14:paraId="68A51BD5" w14:textId="2129B2CA" w:rsidR="00155A7B" w:rsidRDefault="00155A7B" w:rsidP="002936DE">
      <w:pPr>
        <w:spacing w:line="480" w:lineRule="auto"/>
      </w:pPr>
    </w:p>
    <w:p w14:paraId="57BCC540" w14:textId="7FE8083B" w:rsidR="00155A7B" w:rsidRDefault="00155A7B" w:rsidP="002936DE">
      <w:pPr>
        <w:spacing w:line="480" w:lineRule="auto"/>
      </w:pPr>
    </w:p>
    <w:p w14:paraId="0390B36D" w14:textId="614016F7" w:rsidR="00155A7B" w:rsidRDefault="00155A7B" w:rsidP="002936DE">
      <w:pPr>
        <w:spacing w:line="480" w:lineRule="auto"/>
      </w:pPr>
    </w:p>
    <w:p w14:paraId="72BDEEAC" w14:textId="7B7A40BB" w:rsidR="00155A7B" w:rsidRDefault="00155A7B" w:rsidP="002936DE">
      <w:pPr>
        <w:spacing w:line="480" w:lineRule="auto"/>
      </w:pPr>
    </w:p>
    <w:p w14:paraId="630AD268" w14:textId="77777777" w:rsidR="00155A7B" w:rsidRDefault="00155A7B" w:rsidP="00155A7B">
      <w:pPr>
        <w:jc w:val="center"/>
      </w:pPr>
      <w:r>
        <w:t>Do People Prescribe (Over)Optimism?</w:t>
      </w:r>
    </w:p>
    <w:p w14:paraId="3136BF77" w14:textId="77777777" w:rsidR="00155A7B" w:rsidRDefault="00155A7B" w:rsidP="00155A7B">
      <w:pPr>
        <w:jc w:val="center"/>
      </w:pPr>
      <w:r>
        <w:t>Author Contributions</w:t>
      </w:r>
    </w:p>
    <w:p w14:paraId="1C5C1059" w14:textId="77777777" w:rsidR="00155A7B" w:rsidRDefault="00155A7B" w:rsidP="00155A7B"/>
    <w:p w14:paraId="12EBF130" w14:textId="77777777" w:rsidR="00155A7B" w:rsidRPr="00106C5D" w:rsidRDefault="00155A7B" w:rsidP="00155A7B">
      <w:r w:rsidRPr="00106C5D">
        <w:t xml:space="preserve">P.D. </w:t>
      </w:r>
      <w:proofErr w:type="spellStart"/>
      <w:r w:rsidRPr="00106C5D">
        <w:t>Windschitl</w:t>
      </w:r>
      <w:proofErr w:type="spellEnd"/>
      <w:r w:rsidRPr="00106C5D">
        <w:t xml:space="preserve"> conceived the idea for the study. All authors contributed to study design and development. J.E. Miller and I. Park prepared materials for testing. J.E. Miller analyzed the data. J.E. Miller and P.D. </w:t>
      </w:r>
      <w:proofErr w:type="spellStart"/>
      <w:r w:rsidRPr="00106C5D">
        <w:t>Windschitl</w:t>
      </w:r>
      <w:proofErr w:type="spellEnd"/>
      <w:r w:rsidRPr="00106C5D">
        <w:t xml:space="preserve"> wrote the manuscript. All authors contributed to editing and approved the final version for submission. We thank Ireland Mahoney for her contributions in organizing and running participant sessions.</w:t>
      </w:r>
    </w:p>
    <w:p w14:paraId="246C1FC0" w14:textId="77777777" w:rsidR="00155A7B" w:rsidRPr="00F62441" w:rsidRDefault="00155A7B" w:rsidP="002936DE">
      <w:pPr>
        <w:spacing w:line="480" w:lineRule="auto"/>
      </w:pPr>
    </w:p>
    <w:sectPr w:rsidR="00155A7B" w:rsidRPr="00F62441" w:rsidSect="00596DB9">
      <w:headerReference w:type="even" r:id="rId13"/>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0DABB" w14:textId="77777777" w:rsidR="00BA0C4C" w:rsidRDefault="00BA0C4C" w:rsidP="000D5664">
      <w:r>
        <w:separator/>
      </w:r>
    </w:p>
  </w:endnote>
  <w:endnote w:type="continuationSeparator" w:id="0">
    <w:p w14:paraId="500FFE84" w14:textId="77777777" w:rsidR="00BA0C4C" w:rsidRDefault="00BA0C4C" w:rsidP="000D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00000000" w:usb2="0001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97B7C" w14:textId="77777777" w:rsidR="00BA0C4C" w:rsidRDefault="00BA0C4C" w:rsidP="000D5664">
      <w:r>
        <w:separator/>
      </w:r>
    </w:p>
  </w:footnote>
  <w:footnote w:type="continuationSeparator" w:id="0">
    <w:p w14:paraId="17683DFA" w14:textId="77777777" w:rsidR="00BA0C4C" w:rsidRDefault="00BA0C4C" w:rsidP="000D5664">
      <w:r>
        <w:continuationSeparator/>
      </w:r>
    </w:p>
  </w:footnote>
  <w:footnote w:id="1">
    <w:p w14:paraId="4F4DD1D0" w14:textId="77777777" w:rsidR="002E5A45" w:rsidRPr="00931A48" w:rsidRDefault="002E5A45" w:rsidP="0056486F">
      <w:pPr>
        <w:pStyle w:val="FootnoteText"/>
        <w:rPr>
          <w:rFonts w:ascii="Times New Roman" w:hAnsi="Times New Roman" w:cs="Times New Roman"/>
        </w:rPr>
      </w:pPr>
      <w:r w:rsidRPr="00931A48">
        <w:rPr>
          <w:rStyle w:val="FootnoteReference"/>
          <w:rFonts w:ascii="Times New Roman" w:hAnsi="Times New Roman" w:cs="Times New Roman"/>
        </w:rPr>
        <w:footnoteRef/>
      </w:r>
      <w:r w:rsidRPr="00931A48">
        <w:rPr>
          <w:rFonts w:ascii="Times New Roman" w:hAnsi="Times New Roman" w:cs="Times New Roman"/>
        </w:rPr>
        <w:t xml:space="preserve"> </w:t>
      </w:r>
      <w:r>
        <w:rPr>
          <w:rFonts w:ascii="Times New Roman" w:hAnsi="Times New Roman" w:cs="Times New Roman"/>
        </w:rPr>
        <w:t xml:space="preserve">The data presented in </w:t>
      </w:r>
      <w:r w:rsidRPr="00931A48">
        <w:rPr>
          <w:rFonts w:ascii="Times New Roman" w:hAnsi="Times New Roman" w:cs="Times New Roman"/>
        </w:rPr>
        <w:t xml:space="preserve">Study 2 was </w:t>
      </w:r>
      <w:r>
        <w:rPr>
          <w:rFonts w:ascii="Times New Roman" w:hAnsi="Times New Roman" w:cs="Times New Roman"/>
        </w:rPr>
        <w:t xml:space="preserve">collected </w:t>
      </w:r>
      <w:r w:rsidRPr="00931A48">
        <w:rPr>
          <w:rFonts w:ascii="Times New Roman" w:hAnsi="Times New Roman" w:cs="Times New Roman"/>
        </w:rPr>
        <w:t>after</w:t>
      </w:r>
      <w:r>
        <w:rPr>
          <w:rFonts w:ascii="Times New Roman" w:hAnsi="Times New Roman" w:cs="Times New Roman"/>
        </w:rPr>
        <w:t xml:space="preserve"> the data in </w:t>
      </w:r>
      <w:r w:rsidRPr="00931A48">
        <w:rPr>
          <w:rFonts w:ascii="Times New Roman" w:hAnsi="Times New Roman" w:cs="Times New Roman"/>
        </w:rPr>
        <w:t>Study 3</w:t>
      </w:r>
      <w:r>
        <w:rPr>
          <w:rFonts w:ascii="Times New Roman" w:hAnsi="Times New Roman" w:cs="Times New Roman"/>
        </w:rPr>
        <w:t xml:space="preserve">, but the two studies were created and developed at the same time. </w:t>
      </w:r>
    </w:p>
  </w:footnote>
  <w:footnote w:id="2">
    <w:p w14:paraId="16F41F19" w14:textId="55CE543A" w:rsidR="00AF2F29" w:rsidRPr="00D80DF6" w:rsidRDefault="00AF2F29">
      <w:pPr>
        <w:pStyle w:val="FootnoteText"/>
        <w:rPr>
          <w:rFonts w:ascii="Times New Roman" w:hAnsi="Times New Roman" w:cs="Times New Roman"/>
        </w:rPr>
      </w:pPr>
      <w:r w:rsidRPr="00D80DF6">
        <w:rPr>
          <w:rStyle w:val="FootnoteReference"/>
          <w:rFonts w:ascii="Times New Roman" w:hAnsi="Times New Roman" w:cs="Times New Roman"/>
        </w:rPr>
        <w:footnoteRef/>
      </w:r>
      <w:r w:rsidRPr="00D80DF6">
        <w:rPr>
          <w:rFonts w:ascii="Times New Roman" w:hAnsi="Times New Roman" w:cs="Times New Roman"/>
        </w:rPr>
        <w:t xml:space="preserve"> It</w:t>
      </w:r>
      <w:r w:rsidR="00C272ED">
        <w:rPr>
          <w:rFonts w:ascii="Times New Roman" w:hAnsi="Times New Roman" w:cs="Times New Roman"/>
        </w:rPr>
        <w:t xml:space="preserve"> is</w:t>
      </w:r>
      <w:r w:rsidRPr="00D80DF6">
        <w:rPr>
          <w:rFonts w:ascii="Times New Roman" w:hAnsi="Times New Roman" w:cs="Times New Roman"/>
        </w:rPr>
        <w:t xml:space="preserve"> unlikely the wording effect is attributable to response pressures created by the within-subject design, because Study 2 also used a within-subject design.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9018785"/>
      <w:docPartObj>
        <w:docPartGallery w:val="Page Numbers (Top of Page)"/>
        <w:docPartUnique/>
      </w:docPartObj>
    </w:sdtPr>
    <w:sdtEndPr>
      <w:rPr>
        <w:rStyle w:val="PageNumber"/>
      </w:rPr>
    </w:sdtEndPr>
    <w:sdtContent>
      <w:p w14:paraId="59ACCC15" w14:textId="3D2248D9" w:rsidR="002E5A45" w:rsidRDefault="002E5A45" w:rsidP="005D3A7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7AA8E7" w14:textId="77777777" w:rsidR="002E5A45" w:rsidRDefault="002E5A45" w:rsidP="00596DB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2069722460"/>
      <w:docPartObj>
        <w:docPartGallery w:val="Page Numbers (Top of Page)"/>
        <w:docPartUnique/>
      </w:docPartObj>
    </w:sdtPr>
    <w:sdtEndPr>
      <w:rPr>
        <w:rStyle w:val="PageNumber"/>
      </w:rPr>
    </w:sdtEndPr>
    <w:sdtContent>
      <w:p w14:paraId="3A4F14EB" w14:textId="09F91474" w:rsidR="002E5A45" w:rsidRPr="00596DB9" w:rsidRDefault="002E5A45" w:rsidP="006D48C2">
        <w:pPr>
          <w:pStyle w:val="Header"/>
          <w:framePr w:wrap="none" w:vAnchor="text" w:hAnchor="page" w:x="10855" w:y="-13"/>
          <w:rPr>
            <w:rStyle w:val="PageNumber"/>
            <w:rFonts w:ascii="Times New Roman" w:hAnsi="Times New Roman" w:cs="Times New Roman"/>
          </w:rPr>
        </w:pPr>
        <w:r w:rsidRPr="00596DB9">
          <w:rPr>
            <w:rStyle w:val="PageNumber"/>
            <w:rFonts w:ascii="Times New Roman" w:hAnsi="Times New Roman" w:cs="Times New Roman"/>
          </w:rPr>
          <w:fldChar w:fldCharType="begin"/>
        </w:r>
        <w:r w:rsidRPr="00596DB9">
          <w:rPr>
            <w:rStyle w:val="PageNumber"/>
            <w:rFonts w:ascii="Times New Roman" w:hAnsi="Times New Roman" w:cs="Times New Roman"/>
          </w:rPr>
          <w:instrText xml:space="preserve"> PAGE </w:instrText>
        </w:r>
        <w:r w:rsidRPr="00596DB9">
          <w:rPr>
            <w:rStyle w:val="PageNumber"/>
            <w:rFonts w:ascii="Times New Roman" w:hAnsi="Times New Roman" w:cs="Times New Roman"/>
          </w:rPr>
          <w:fldChar w:fldCharType="separate"/>
        </w:r>
        <w:r>
          <w:rPr>
            <w:rStyle w:val="PageNumber"/>
            <w:rFonts w:ascii="Times New Roman" w:hAnsi="Times New Roman" w:cs="Times New Roman"/>
            <w:noProof/>
          </w:rPr>
          <w:t>20</w:t>
        </w:r>
        <w:r w:rsidRPr="00596DB9">
          <w:rPr>
            <w:rStyle w:val="PageNumber"/>
            <w:rFonts w:ascii="Times New Roman" w:hAnsi="Times New Roman" w:cs="Times New Roman"/>
          </w:rPr>
          <w:fldChar w:fldCharType="end"/>
        </w:r>
      </w:p>
    </w:sdtContent>
  </w:sdt>
  <w:p w14:paraId="07D6D6E7" w14:textId="0C139858" w:rsidR="002E5A45" w:rsidRPr="000D5664" w:rsidRDefault="006D48C2" w:rsidP="006D48C2">
    <w:pPr>
      <w:pStyle w:val="Header"/>
      <w:tabs>
        <w:tab w:val="clear" w:pos="4680"/>
      </w:tabs>
      <w:ind w:right="360"/>
      <w:rPr>
        <w:rFonts w:ascii="Times New Roman" w:hAnsi="Times New Roman" w:cs="Times New Roman"/>
      </w:rPr>
    </w:pPr>
    <w:r>
      <w:rPr>
        <w:rFonts w:ascii="Times New Roman" w:hAnsi="Times New Roman" w:cs="Times New Roman"/>
      </w:rPr>
      <w:t>PRESCRIBED OPTIMISM, OVEROPTIMISM, OR NEITHER?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69FD1" w14:textId="65D36B1F" w:rsidR="002E5A45" w:rsidRPr="0047164A" w:rsidRDefault="002E5A45">
    <w:pPr>
      <w:pStyle w:val="Header"/>
      <w:rPr>
        <w:rFonts w:ascii="Times New Roman" w:hAnsi="Times New Roman" w:cs="Times New Roman"/>
      </w:rPr>
    </w:pPr>
    <w:r>
      <w:rPr>
        <w:rFonts w:ascii="Times New Roman" w:hAnsi="Times New Roman" w:cs="Times New Roman"/>
      </w:rPr>
      <w:t>PRESCRIBED OPTIMISM</w:t>
    </w:r>
    <w:r w:rsidR="006D48C2">
      <w:rPr>
        <w:rFonts w:ascii="Times New Roman" w:hAnsi="Times New Roman" w:cs="Times New Roman"/>
      </w:rPr>
      <w:t>, OVEROPTIMISM, OR NEITHER</w:t>
    </w:r>
    <w:r>
      <w:rPr>
        <w:rFonts w:ascii="Times New Roman" w:hAnsi="Times New Roman" w:cs="Times New Roman"/>
      </w:rPr>
      <w:t>?</w:t>
    </w:r>
    <w:r w:rsidR="006D48C2">
      <w:rPr>
        <w:rFonts w:ascii="Times New Roman" w:hAnsi="Times New Roman" w:cs="Times New Roman"/>
      </w:rPr>
      <w:tab/>
    </w:r>
    <w:r>
      <w:rPr>
        <w:rFonts w:ascii="Times New Roman" w:hAnsi="Times New Roman" w:cs="Times New Roman"/>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604A4"/>
    <w:multiLevelType w:val="hybridMultilevel"/>
    <w:tmpl w:val="56F215E6"/>
    <w:lvl w:ilvl="0" w:tplc="53C4169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2730F"/>
    <w:multiLevelType w:val="multilevel"/>
    <w:tmpl w:val="8A9C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235787"/>
    <w:multiLevelType w:val="hybridMultilevel"/>
    <w:tmpl w:val="F4DC649A"/>
    <w:lvl w:ilvl="0" w:tplc="99805BCC">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5C9F04EC"/>
    <w:multiLevelType w:val="hybridMultilevel"/>
    <w:tmpl w:val="CEF67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880D3A"/>
    <w:multiLevelType w:val="hybridMultilevel"/>
    <w:tmpl w:val="51CC59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70E8F"/>
    <w:multiLevelType w:val="hybridMultilevel"/>
    <w:tmpl w:val="4EEE98EA"/>
    <w:lvl w:ilvl="0" w:tplc="D1BEF3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64"/>
    <w:rsid w:val="00000196"/>
    <w:rsid w:val="000006AD"/>
    <w:rsid w:val="0000140A"/>
    <w:rsid w:val="00001B63"/>
    <w:rsid w:val="00001FC6"/>
    <w:rsid w:val="00003059"/>
    <w:rsid w:val="000030F0"/>
    <w:rsid w:val="00003983"/>
    <w:rsid w:val="00003C53"/>
    <w:rsid w:val="00004FBF"/>
    <w:rsid w:val="00006795"/>
    <w:rsid w:val="000126A5"/>
    <w:rsid w:val="00013515"/>
    <w:rsid w:val="00013547"/>
    <w:rsid w:val="00013BB6"/>
    <w:rsid w:val="00014C3B"/>
    <w:rsid w:val="00014C93"/>
    <w:rsid w:val="00015144"/>
    <w:rsid w:val="000157D6"/>
    <w:rsid w:val="00016418"/>
    <w:rsid w:val="000204CC"/>
    <w:rsid w:val="000229D3"/>
    <w:rsid w:val="00022E0D"/>
    <w:rsid w:val="00023288"/>
    <w:rsid w:val="00027AC9"/>
    <w:rsid w:val="00034EBD"/>
    <w:rsid w:val="000350BD"/>
    <w:rsid w:val="000368D0"/>
    <w:rsid w:val="000379DA"/>
    <w:rsid w:val="0004161C"/>
    <w:rsid w:val="00042FD1"/>
    <w:rsid w:val="00043375"/>
    <w:rsid w:val="000436F6"/>
    <w:rsid w:val="000445D7"/>
    <w:rsid w:val="000450FF"/>
    <w:rsid w:val="0004524C"/>
    <w:rsid w:val="0005001B"/>
    <w:rsid w:val="00052889"/>
    <w:rsid w:val="00052D1B"/>
    <w:rsid w:val="00053149"/>
    <w:rsid w:val="00055750"/>
    <w:rsid w:val="00055DB0"/>
    <w:rsid w:val="00057310"/>
    <w:rsid w:val="000606C7"/>
    <w:rsid w:val="00062C03"/>
    <w:rsid w:val="00067074"/>
    <w:rsid w:val="00067558"/>
    <w:rsid w:val="0007101B"/>
    <w:rsid w:val="00071696"/>
    <w:rsid w:val="00071D94"/>
    <w:rsid w:val="000727F3"/>
    <w:rsid w:val="00072C34"/>
    <w:rsid w:val="00072F2A"/>
    <w:rsid w:val="00077F1D"/>
    <w:rsid w:val="00084C97"/>
    <w:rsid w:val="0008536E"/>
    <w:rsid w:val="00085DDB"/>
    <w:rsid w:val="00086A95"/>
    <w:rsid w:val="00094C9F"/>
    <w:rsid w:val="00094E1B"/>
    <w:rsid w:val="00094EC2"/>
    <w:rsid w:val="000968B5"/>
    <w:rsid w:val="000972B4"/>
    <w:rsid w:val="0009749F"/>
    <w:rsid w:val="000A1872"/>
    <w:rsid w:val="000A243B"/>
    <w:rsid w:val="000A2ACE"/>
    <w:rsid w:val="000A32DD"/>
    <w:rsid w:val="000A4F35"/>
    <w:rsid w:val="000B112E"/>
    <w:rsid w:val="000B29C5"/>
    <w:rsid w:val="000B359E"/>
    <w:rsid w:val="000B3904"/>
    <w:rsid w:val="000B465D"/>
    <w:rsid w:val="000B5108"/>
    <w:rsid w:val="000B6F25"/>
    <w:rsid w:val="000C00C9"/>
    <w:rsid w:val="000C0617"/>
    <w:rsid w:val="000C2378"/>
    <w:rsid w:val="000C3E02"/>
    <w:rsid w:val="000C48FA"/>
    <w:rsid w:val="000C5CE4"/>
    <w:rsid w:val="000C5EF2"/>
    <w:rsid w:val="000C7B70"/>
    <w:rsid w:val="000C7E13"/>
    <w:rsid w:val="000D03AE"/>
    <w:rsid w:val="000D5515"/>
    <w:rsid w:val="000D5664"/>
    <w:rsid w:val="000E0042"/>
    <w:rsid w:val="000E0744"/>
    <w:rsid w:val="000E0A9E"/>
    <w:rsid w:val="000E49E0"/>
    <w:rsid w:val="000E4E48"/>
    <w:rsid w:val="000E68F7"/>
    <w:rsid w:val="000F08A3"/>
    <w:rsid w:val="000F3EB4"/>
    <w:rsid w:val="000F43BC"/>
    <w:rsid w:val="000F7726"/>
    <w:rsid w:val="000F784D"/>
    <w:rsid w:val="000F7987"/>
    <w:rsid w:val="001005A2"/>
    <w:rsid w:val="00102A5E"/>
    <w:rsid w:val="00104432"/>
    <w:rsid w:val="00104538"/>
    <w:rsid w:val="001059DE"/>
    <w:rsid w:val="00107CFA"/>
    <w:rsid w:val="001109C2"/>
    <w:rsid w:val="00111862"/>
    <w:rsid w:val="00111DF3"/>
    <w:rsid w:val="00112EC3"/>
    <w:rsid w:val="00113892"/>
    <w:rsid w:val="00116F97"/>
    <w:rsid w:val="00117ABA"/>
    <w:rsid w:val="001226AA"/>
    <w:rsid w:val="00122AFE"/>
    <w:rsid w:val="00124AE6"/>
    <w:rsid w:val="00125500"/>
    <w:rsid w:val="0012692A"/>
    <w:rsid w:val="00127934"/>
    <w:rsid w:val="00130B31"/>
    <w:rsid w:val="00131928"/>
    <w:rsid w:val="00133C69"/>
    <w:rsid w:val="0013404C"/>
    <w:rsid w:val="00135634"/>
    <w:rsid w:val="00135F82"/>
    <w:rsid w:val="001364E6"/>
    <w:rsid w:val="00136976"/>
    <w:rsid w:val="00137256"/>
    <w:rsid w:val="001404CC"/>
    <w:rsid w:val="001416F6"/>
    <w:rsid w:val="001443EE"/>
    <w:rsid w:val="00144BDE"/>
    <w:rsid w:val="001454C4"/>
    <w:rsid w:val="00145AA7"/>
    <w:rsid w:val="00146522"/>
    <w:rsid w:val="0014758D"/>
    <w:rsid w:val="00153537"/>
    <w:rsid w:val="00153777"/>
    <w:rsid w:val="00154882"/>
    <w:rsid w:val="00154F71"/>
    <w:rsid w:val="00155A7B"/>
    <w:rsid w:val="00156865"/>
    <w:rsid w:val="00156EFC"/>
    <w:rsid w:val="001614AC"/>
    <w:rsid w:val="00161BA9"/>
    <w:rsid w:val="00164243"/>
    <w:rsid w:val="00166700"/>
    <w:rsid w:val="00167008"/>
    <w:rsid w:val="00172117"/>
    <w:rsid w:val="0017378E"/>
    <w:rsid w:val="00174CC5"/>
    <w:rsid w:val="0017507E"/>
    <w:rsid w:val="00175081"/>
    <w:rsid w:val="0017573F"/>
    <w:rsid w:val="00180692"/>
    <w:rsid w:val="00182AE8"/>
    <w:rsid w:val="00183138"/>
    <w:rsid w:val="00183DC0"/>
    <w:rsid w:val="00184012"/>
    <w:rsid w:val="00184197"/>
    <w:rsid w:val="001841EA"/>
    <w:rsid w:val="00184A75"/>
    <w:rsid w:val="00185793"/>
    <w:rsid w:val="001901CD"/>
    <w:rsid w:val="00192F9C"/>
    <w:rsid w:val="00193A06"/>
    <w:rsid w:val="0019748B"/>
    <w:rsid w:val="001A0BF3"/>
    <w:rsid w:val="001A2E57"/>
    <w:rsid w:val="001A58CE"/>
    <w:rsid w:val="001A5B0C"/>
    <w:rsid w:val="001A68B3"/>
    <w:rsid w:val="001A6B3B"/>
    <w:rsid w:val="001B0698"/>
    <w:rsid w:val="001B11DD"/>
    <w:rsid w:val="001B1B27"/>
    <w:rsid w:val="001B5EFB"/>
    <w:rsid w:val="001B6B48"/>
    <w:rsid w:val="001C1081"/>
    <w:rsid w:val="001C3DA1"/>
    <w:rsid w:val="001C4898"/>
    <w:rsid w:val="001C5219"/>
    <w:rsid w:val="001C6BC7"/>
    <w:rsid w:val="001C6F40"/>
    <w:rsid w:val="001C79D9"/>
    <w:rsid w:val="001D0151"/>
    <w:rsid w:val="001D02A2"/>
    <w:rsid w:val="001D21F2"/>
    <w:rsid w:val="001D306E"/>
    <w:rsid w:val="001D59B3"/>
    <w:rsid w:val="001D5AA9"/>
    <w:rsid w:val="001D68B3"/>
    <w:rsid w:val="001D6B43"/>
    <w:rsid w:val="001E080B"/>
    <w:rsid w:val="001E0A29"/>
    <w:rsid w:val="001E1BDA"/>
    <w:rsid w:val="001E61CF"/>
    <w:rsid w:val="001E669D"/>
    <w:rsid w:val="001E7FB3"/>
    <w:rsid w:val="001F25B5"/>
    <w:rsid w:val="001F2A6A"/>
    <w:rsid w:val="001F30B3"/>
    <w:rsid w:val="001F577E"/>
    <w:rsid w:val="001F6383"/>
    <w:rsid w:val="001F6A74"/>
    <w:rsid w:val="001F6A89"/>
    <w:rsid w:val="001F7E9F"/>
    <w:rsid w:val="00200327"/>
    <w:rsid w:val="002009DE"/>
    <w:rsid w:val="00201943"/>
    <w:rsid w:val="00204661"/>
    <w:rsid w:val="00204BF6"/>
    <w:rsid w:val="00205700"/>
    <w:rsid w:val="00205AF1"/>
    <w:rsid w:val="00207E7F"/>
    <w:rsid w:val="002102AD"/>
    <w:rsid w:val="00212BFD"/>
    <w:rsid w:val="00214131"/>
    <w:rsid w:val="00215D5A"/>
    <w:rsid w:val="00215E1E"/>
    <w:rsid w:val="00216613"/>
    <w:rsid w:val="002207F5"/>
    <w:rsid w:val="00221092"/>
    <w:rsid w:val="00223D54"/>
    <w:rsid w:val="00224BF7"/>
    <w:rsid w:val="0022583A"/>
    <w:rsid w:val="0022590C"/>
    <w:rsid w:val="00227036"/>
    <w:rsid w:val="002315DF"/>
    <w:rsid w:val="00232387"/>
    <w:rsid w:val="0023250B"/>
    <w:rsid w:val="00232D97"/>
    <w:rsid w:val="0023313B"/>
    <w:rsid w:val="00236A01"/>
    <w:rsid w:val="0024154A"/>
    <w:rsid w:val="00243587"/>
    <w:rsid w:val="00244A8C"/>
    <w:rsid w:val="00247D9F"/>
    <w:rsid w:val="002502F8"/>
    <w:rsid w:val="00250762"/>
    <w:rsid w:val="00250F3C"/>
    <w:rsid w:val="0025106B"/>
    <w:rsid w:val="00252E35"/>
    <w:rsid w:val="0025364E"/>
    <w:rsid w:val="00253ABB"/>
    <w:rsid w:val="0025534F"/>
    <w:rsid w:val="00256EF8"/>
    <w:rsid w:val="00257F76"/>
    <w:rsid w:val="00260C63"/>
    <w:rsid w:val="00272F53"/>
    <w:rsid w:val="00273315"/>
    <w:rsid w:val="00273949"/>
    <w:rsid w:val="00275B76"/>
    <w:rsid w:val="00275FBC"/>
    <w:rsid w:val="002762E6"/>
    <w:rsid w:val="00281BC3"/>
    <w:rsid w:val="002837A3"/>
    <w:rsid w:val="002838DF"/>
    <w:rsid w:val="00284612"/>
    <w:rsid w:val="00284799"/>
    <w:rsid w:val="002849BB"/>
    <w:rsid w:val="00284DFF"/>
    <w:rsid w:val="00286591"/>
    <w:rsid w:val="00290A05"/>
    <w:rsid w:val="00291726"/>
    <w:rsid w:val="00291ACA"/>
    <w:rsid w:val="00292441"/>
    <w:rsid w:val="002936DE"/>
    <w:rsid w:val="002940BC"/>
    <w:rsid w:val="00295E5C"/>
    <w:rsid w:val="00296FF2"/>
    <w:rsid w:val="002A3FBF"/>
    <w:rsid w:val="002A4FBD"/>
    <w:rsid w:val="002A6144"/>
    <w:rsid w:val="002A64BA"/>
    <w:rsid w:val="002A6AAD"/>
    <w:rsid w:val="002A6B4A"/>
    <w:rsid w:val="002A7CB6"/>
    <w:rsid w:val="002B0457"/>
    <w:rsid w:val="002B3CA5"/>
    <w:rsid w:val="002B4894"/>
    <w:rsid w:val="002B563E"/>
    <w:rsid w:val="002B6704"/>
    <w:rsid w:val="002C0E97"/>
    <w:rsid w:val="002C1E89"/>
    <w:rsid w:val="002C26A2"/>
    <w:rsid w:val="002C2C9C"/>
    <w:rsid w:val="002C44CF"/>
    <w:rsid w:val="002C65F2"/>
    <w:rsid w:val="002D0E3B"/>
    <w:rsid w:val="002D1880"/>
    <w:rsid w:val="002D3A6A"/>
    <w:rsid w:val="002D410B"/>
    <w:rsid w:val="002D61CE"/>
    <w:rsid w:val="002E09B3"/>
    <w:rsid w:val="002E26C1"/>
    <w:rsid w:val="002E4474"/>
    <w:rsid w:val="002E5A45"/>
    <w:rsid w:val="002F2C04"/>
    <w:rsid w:val="002F3265"/>
    <w:rsid w:val="002F32AA"/>
    <w:rsid w:val="002F4D17"/>
    <w:rsid w:val="002F57FC"/>
    <w:rsid w:val="002F770D"/>
    <w:rsid w:val="002F7C84"/>
    <w:rsid w:val="00300A10"/>
    <w:rsid w:val="00302C1E"/>
    <w:rsid w:val="0030571E"/>
    <w:rsid w:val="0030691D"/>
    <w:rsid w:val="00307BF9"/>
    <w:rsid w:val="003119E1"/>
    <w:rsid w:val="00311B24"/>
    <w:rsid w:val="00314CC4"/>
    <w:rsid w:val="003158A4"/>
    <w:rsid w:val="00315A0C"/>
    <w:rsid w:val="00320BA0"/>
    <w:rsid w:val="00320C04"/>
    <w:rsid w:val="00322BD8"/>
    <w:rsid w:val="00324BCB"/>
    <w:rsid w:val="00324DFA"/>
    <w:rsid w:val="003264BF"/>
    <w:rsid w:val="00330D37"/>
    <w:rsid w:val="00333B5D"/>
    <w:rsid w:val="00334603"/>
    <w:rsid w:val="00335C26"/>
    <w:rsid w:val="00336207"/>
    <w:rsid w:val="0033645E"/>
    <w:rsid w:val="00341D5A"/>
    <w:rsid w:val="00341FCD"/>
    <w:rsid w:val="003441B2"/>
    <w:rsid w:val="003441C6"/>
    <w:rsid w:val="003458D4"/>
    <w:rsid w:val="00346F73"/>
    <w:rsid w:val="00350123"/>
    <w:rsid w:val="0035278A"/>
    <w:rsid w:val="00354A8A"/>
    <w:rsid w:val="00354BC4"/>
    <w:rsid w:val="00354C25"/>
    <w:rsid w:val="00356753"/>
    <w:rsid w:val="00356799"/>
    <w:rsid w:val="0035695F"/>
    <w:rsid w:val="003579EE"/>
    <w:rsid w:val="00362EE3"/>
    <w:rsid w:val="0036382E"/>
    <w:rsid w:val="00365A60"/>
    <w:rsid w:val="00371AB6"/>
    <w:rsid w:val="00373F7F"/>
    <w:rsid w:val="003740FF"/>
    <w:rsid w:val="003753BA"/>
    <w:rsid w:val="0037693B"/>
    <w:rsid w:val="00377A6F"/>
    <w:rsid w:val="0038006D"/>
    <w:rsid w:val="00380623"/>
    <w:rsid w:val="00381E5E"/>
    <w:rsid w:val="003825A4"/>
    <w:rsid w:val="00382B96"/>
    <w:rsid w:val="003845B8"/>
    <w:rsid w:val="00384825"/>
    <w:rsid w:val="003929BC"/>
    <w:rsid w:val="003936DC"/>
    <w:rsid w:val="0039700C"/>
    <w:rsid w:val="00397345"/>
    <w:rsid w:val="003A0AE9"/>
    <w:rsid w:val="003A1B47"/>
    <w:rsid w:val="003A1E6D"/>
    <w:rsid w:val="003A2CDD"/>
    <w:rsid w:val="003A5733"/>
    <w:rsid w:val="003A76E2"/>
    <w:rsid w:val="003B20FF"/>
    <w:rsid w:val="003B2C2A"/>
    <w:rsid w:val="003B3E41"/>
    <w:rsid w:val="003B5F37"/>
    <w:rsid w:val="003B64D6"/>
    <w:rsid w:val="003C239A"/>
    <w:rsid w:val="003C650C"/>
    <w:rsid w:val="003C66C1"/>
    <w:rsid w:val="003C7B30"/>
    <w:rsid w:val="003D2A56"/>
    <w:rsid w:val="003D323C"/>
    <w:rsid w:val="003D72A4"/>
    <w:rsid w:val="003E1EA2"/>
    <w:rsid w:val="003E33AA"/>
    <w:rsid w:val="003E5461"/>
    <w:rsid w:val="003E5F56"/>
    <w:rsid w:val="003E635D"/>
    <w:rsid w:val="003E6BA0"/>
    <w:rsid w:val="003E6EB7"/>
    <w:rsid w:val="003F10DB"/>
    <w:rsid w:val="003F30E7"/>
    <w:rsid w:val="003F52B6"/>
    <w:rsid w:val="003F56AC"/>
    <w:rsid w:val="003F7458"/>
    <w:rsid w:val="00400EB6"/>
    <w:rsid w:val="004018B8"/>
    <w:rsid w:val="004030D1"/>
    <w:rsid w:val="0040370B"/>
    <w:rsid w:val="0040391D"/>
    <w:rsid w:val="00403F96"/>
    <w:rsid w:val="00406F9A"/>
    <w:rsid w:val="00407368"/>
    <w:rsid w:val="004118CD"/>
    <w:rsid w:val="004146BC"/>
    <w:rsid w:val="00416553"/>
    <w:rsid w:val="004175B0"/>
    <w:rsid w:val="00417A95"/>
    <w:rsid w:val="00421AD6"/>
    <w:rsid w:val="004236C6"/>
    <w:rsid w:val="0042733A"/>
    <w:rsid w:val="00427B66"/>
    <w:rsid w:val="00434199"/>
    <w:rsid w:val="00436E09"/>
    <w:rsid w:val="004440D8"/>
    <w:rsid w:val="00444D7D"/>
    <w:rsid w:val="00447E9D"/>
    <w:rsid w:val="004519DE"/>
    <w:rsid w:val="00451DFC"/>
    <w:rsid w:val="00454B52"/>
    <w:rsid w:val="00455E25"/>
    <w:rsid w:val="00457C1C"/>
    <w:rsid w:val="00461824"/>
    <w:rsid w:val="00461E02"/>
    <w:rsid w:val="00464271"/>
    <w:rsid w:val="00464BCF"/>
    <w:rsid w:val="00464F1A"/>
    <w:rsid w:val="00466DE2"/>
    <w:rsid w:val="0047052A"/>
    <w:rsid w:val="0047164A"/>
    <w:rsid w:val="00471AE5"/>
    <w:rsid w:val="00472D9D"/>
    <w:rsid w:val="0047309C"/>
    <w:rsid w:val="00480B72"/>
    <w:rsid w:val="004824BE"/>
    <w:rsid w:val="0048255D"/>
    <w:rsid w:val="00483076"/>
    <w:rsid w:val="00483EED"/>
    <w:rsid w:val="00484118"/>
    <w:rsid w:val="0048618D"/>
    <w:rsid w:val="004926D2"/>
    <w:rsid w:val="004929FB"/>
    <w:rsid w:val="004943ED"/>
    <w:rsid w:val="00495886"/>
    <w:rsid w:val="004963B4"/>
    <w:rsid w:val="004968BC"/>
    <w:rsid w:val="004A1368"/>
    <w:rsid w:val="004A16C1"/>
    <w:rsid w:val="004A2308"/>
    <w:rsid w:val="004A2FEC"/>
    <w:rsid w:val="004A7575"/>
    <w:rsid w:val="004B04C0"/>
    <w:rsid w:val="004B1624"/>
    <w:rsid w:val="004B3E45"/>
    <w:rsid w:val="004B4F8C"/>
    <w:rsid w:val="004B5DF0"/>
    <w:rsid w:val="004B64C5"/>
    <w:rsid w:val="004B736E"/>
    <w:rsid w:val="004C5973"/>
    <w:rsid w:val="004D00D7"/>
    <w:rsid w:val="004D03EF"/>
    <w:rsid w:val="004D210E"/>
    <w:rsid w:val="004D3929"/>
    <w:rsid w:val="004D3AF0"/>
    <w:rsid w:val="004D58C7"/>
    <w:rsid w:val="004D7B93"/>
    <w:rsid w:val="004D7EE1"/>
    <w:rsid w:val="004E106B"/>
    <w:rsid w:val="004E18F5"/>
    <w:rsid w:val="004E37A8"/>
    <w:rsid w:val="004E661A"/>
    <w:rsid w:val="004E78E9"/>
    <w:rsid w:val="004F0117"/>
    <w:rsid w:val="004F3800"/>
    <w:rsid w:val="004F5D7D"/>
    <w:rsid w:val="004F68E8"/>
    <w:rsid w:val="0050088C"/>
    <w:rsid w:val="00501776"/>
    <w:rsid w:val="00501D08"/>
    <w:rsid w:val="00503D66"/>
    <w:rsid w:val="005048F3"/>
    <w:rsid w:val="00505BCD"/>
    <w:rsid w:val="00506963"/>
    <w:rsid w:val="0051172D"/>
    <w:rsid w:val="00511DC1"/>
    <w:rsid w:val="00514B0D"/>
    <w:rsid w:val="00515C11"/>
    <w:rsid w:val="005175A2"/>
    <w:rsid w:val="00520D41"/>
    <w:rsid w:val="00521AD7"/>
    <w:rsid w:val="005234E5"/>
    <w:rsid w:val="0052388A"/>
    <w:rsid w:val="005246DE"/>
    <w:rsid w:val="00527110"/>
    <w:rsid w:val="00527656"/>
    <w:rsid w:val="00532047"/>
    <w:rsid w:val="00532EC5"/>
    <w:rsid w:val="005402AB"/>
    <w:rsid w:val="00542629"/>
    <w:rsid w:val="005434AD"/>
    <w:rsid w:val="00543B47"/>
    <w:rsid w:val="005459C6"/>
    <w:rsid w:val="00547A48"/>
    <w:rsid w:val="00553861"/>
    <w:rsid w:val="00554030"/>
    <w:rsid w:val="005562CF"/>
    <w:rsid w:val="0055655A"/>
    <w:rsid w:val="0055718A"/>
    <w:rsid w:val="00560A4C"/>
    <w:rsid w:val="0056475F"/>
    <w:rsid w:val="0056486F"/>
    <w:rsid w:val="00564CCE"/>
    <w:rsid w:val="00564F56"/>
    <w:rsid w:val="00565920"/>
    <w:rsid w:val="0056608D"/>
    <w:rsid w:val="005709C9"/>
    <w:rsid w:val="00572248"/>
    <w:rsid w:val="00572452"/>
    <w:rsid w:val="00572DA0"/>
    <w:rsid w:val="00576D73"/>
    <w:rsid w:val="00582ED1"/>
    <w:rsid w:val="00583961"/>
    <w:rsid w:val="00583A59"/>
    <w:rsid w:val="00584096"/>
    <w:rsid w:val="00590F71"/>
    <w:rsid w:val="00592382"/>
    <w:rsid w:val="00594B41"/>
    <w:rsid w:val="0059655F"/>
    <w:rsid w:val="00596DB9"/>
    <w:rsid w:val="005A3131"/>
    <w:rsid w:val="005A322B"/>
    <w:rsid w:val="005A50E9"/>
    <w:rsid w:val="005A5366"/>
    <w:rsid w:val="005A58DF"/>
    <w:rsid w:val="005A6578"/>
    <w:rsid w:val="005A6B3B"/>
    <w:rsid w:val="005A6CCA"/>
    <w:rsid w:val="005A72E8"/>
    <w:rsid w:val="005A7363"/>
    <w:rsid w:val="005B49CC"/>
    <w:rsid w:val="005B4CE1"/>
    <w:rsid w:val="005B5AF2"/>
    <w:rsid w:val="005C0B5F"/>
    <w:rsid w:val="005C0D0F"/>
    <w:rsid w:val="005C2186"/>
    <w:rsid w:val="005C56F8"/>
    <w:rsid w:val="005C5E54"/>
    <w:rsid w:val="005D2933"/>
    <w:rsid w:val="005D3A79"/>
    <w:rsid w:val="005D626D"/>
    <w:rsid w:val="005D72D9"/>
    <w:rsid w:val="005D750E"/>
    <w:rsid w:val="005D7607"/>
    <w:rsid w:val="005D792A"/>
    <w:rsid w:val="005E0FD3"/>
    <w:rsid w:val="005E2374"/>
    <w:rsid w:val="005E2870"/>
    <w:rsid w:val="005E2994"/>
    <w:rsid w:val="005E32F4"/>
    <w:rsid w:val="005E79EA"/>
    <w:rsid w:val="005F19CC"/>
    <w:rsid w:val="005F37FD"/>
    <w:rsid w:val="005F4562"/>
    <w:rsid w:val="005F614D"/>
    <w:rsid w:val="0060064A"/>
    <w:rsid w:val="0060116F"/>
    <w:rsid w:val="006048C6"/>
    <w:rsid w:val="00605AA2"/>
    <w:rsid w:val="00606511"/>
    <w:rsid w:val="00606BE3"/>
    <w:rsid w:val="006070DD"/>
    <w:rsid w:val="0060742C"/>
    <w:rsid w:val="00607432"/>
    <w:rsid w:val="006122F3"/>
    <w:rsid w:val="006129CF"/>
    <w:rsid w:val="0061381B"/>
    <w:rsid w:val="00613A4F"/>
    <w:rsid w:val="006145DD"/>
    <w:rsid w:val="00614FCE"/>
    <w:rsid w:val="0061517B"/>
    <w:rsid w:val="00617EE5"/>
    <w:rsid w:val="00620FF6"/>
    <w:rsid w:val="00623567"/>
    <w:rsid w:val="00624042"/>
    <w:rsid w:val="006240F4"/>
    <w:rsid w:val="00626249"/>
    <w:rsid w:val="0063009A"/>
    <w:rsid w:val="00630DC1"/>
    <w:rsid w:val="006330E7"/>
    <w:rsid w:val="00634D20"/>
    <w:rsid w:val="006354CF"/>
    <w:rsid w:val="00637087"/>
    <w:rsid w:val="00637FE2"/>
    <w:rsid w:val="00640526"/>
    <w:rsid w:val="00643CC2"/>
    <w:rsid w:val="00644D7A"/>
    <w:rsid w:val="00647701"/>
    <w:rsid w:val="006501CE"/>
    <w:rsid w:val="0065357C"/>
    <w:rsid w:val="0065500E"/>
    <w:rsid w:val="006556DC"/>
    <w:rsid w:val="00656210"/>
    <w:rsid w:val="00656F1C"/>
    <w:rsid w:val="00657608"/>
    <w:rsid w:val="006610FE"/>
    <w:rsid w:val="00663D68"/>
    <w:rsid w:val="00665252"/>
    <w:rsid w:val="006658E0"/>
    <w:rsid w:val="00667E47"/>
    <w:rsid w:val="0067126C"/>
    <w:rsid w:val="00671897"/>
    <w:rsid w:val="00674793"/>
    <w:rsid w:val="00677550"/>
    <w:rsid w:val="00677EE2"/>
    <w:rsid w:val="00680E87"/>
    <w:rsid w:val="0068173E"/>
    <w:rsid w:val="00681788"/>
    <w:rsid w:val="00681DCB"/>
    <w:rsid w:val="00682BD0"/>
    <w:rsid w:val="00683DFD"/>
    <w:rsid w:val="00684D4F"/>
    <w:rsid w:val="00684FF7"/>
    <w:rsid w:val="0068502A"/>
    <w:rsid w:val="0068528E"/>
    <w:rsid w:val="006857A4"/>
    <w:rsid w:val="00690763"/>
    <w:rsid w:val="00693511"/>
    <w:rsid w:val="00693747"/>
    <w:rsid w:val="00693796"/>
    <w:rsid w:val="00694697"/>
    <w:rsid w:val="006A35A8"/>
    <w:rsid w:val="006A3E0F"/>
    <w:rsid w:val="006A4651"/>
    <w:rsid w:val="006A776A"/>
    <w:rsid w:val="006B2AB0"/>
    <w:rsid w:val="006B41F3"/>
    <w:rsid w:val="006B54BC"/>
    <w:rsid w:val="006B5C20"/>
    <w:rsid w:val="006B631C"/>
    <w:rsid w:val="006B69FD"/>
    <w:rsid w:val="006C0C68"/>
    <w:rsid w:val="006C105A"/>
    <w:rsid w:val="006C1E23"/>
    <w:rsid w:val="006C3D41"/>
    <w:rsid w:val="006C42AC"/>
    <w:rsid w:val="006C5C87"/>
    <w:rsid w:val="006C67DC"/>
    <w:rsid w:val="006C6BF4"/>
    <w:rsid w:val="006D2289"/>
    <w:rsid w:val="006D25AD"/>
    <w:rsid w:val="006D4360"/>
    <w:rsid w:val="006D48C2"/>
    <w:rsid w:val="006D4E93"/>
    <w:rsid w:val="006D6ECD"/>
    <w:rsid w:val="006D7095"/>
    <w:rsid w:val="006D75C1"/>
    <w:rsid w:val="006E0610"/>
    <w:rsid w:val="006E1784"/>
    <w:rsid w:val="006E255E"/>
    <w:rsid w:val="006E2719"/>
    <w:rsid w:val="006E581C"/>
    <w:rsid w:val="006E62EE"/>
    <w:rsid w:val="006E6AE8"/>
    <w:rsid w:val="006E6FE0"/>
    <w:rsid w:val="006F02B0"/>
    <w:rsid w:val="006F112A"/>
    <w:rsid w:val="006F337A"/>
    <w:rsid w:val="006F3D82"/>
    <w:rsid w:val="006F539A"/>
    <w:rsid w:val="006F72DF"/>
    <w:rsid w:val="007000DB"/>
    <w:rsid w:val="00704845"/>
    <w:rsid w:val="00704932"/>
    <w:rsid w:val="00705B2B"/>
    <w:rsid w:val="00705C9E"/>
    <w:rsid w:val="00707A64"/>
    <w:rsid w:val="0071041D"/>
    <w:rsid w:val="00711DA5"/>
    <w:rsid w:val="00712E31"/>
    <w:rsid w:val="00712EFC"/>
    <w:rsid w:val="00713F47"/>
    <w:rsid w:val="0071496E"/>
    <w:rsid w:val="007209A6"/>
    <w:rsid w:val="0072343B"/>
    <w:rsid w:val="007266EC"/>
    <w:rsid w:val="00733653"/>
    <w:rsid w:val="00735375"/>
    <w:rsid w:val="00737928"/>
    <w:rsid w:val="00741FA1"/>
    <w:rsid w:val="007430E4"/>
    <w:rsid w:val="007442DE"/>
    <w:rsid w:val="007456D9"/>
    <w:rsid w:val="00747AC7"/>
    <w:rsid w:val="007556C9"/>
    <w:rsid w:val="00761097"/>
    <w:rsid w:val="007610CA"/>
    <w:rsid w:val="007624E2"/>
    <w:rsid w:val="007649B8"/>
    <w:rsid w:val="00766EA1"/>
    <w:rsid w:val="00767E29"/>
    <w:rsid w:val="007743E3"/>
    <w:rsid w:val="00780294"/>
    <w:rsid w:val="00782AAB"/>
    <w:rsid w:val="00782AFA"/>
    <w:rsid w:val="00785A01"/>
    <w:rsid w:val="00786086"/>
    <w:rsid w:val="007902F4"/>
    <w:rsid w:val="007907BA"/>
    <w:rsid w:val="00790C12"/>
    <w:rsid w:val="00793C66"/>
    <w:rsid w:val="0079430B"/>
    <w:rsid w:val="007947C0"/>
    <w:rsid w:val="00797619"/>
    <w:rsid w:val="007A0CBF"/>
    <w:rsid w:val="007A1DEA"/>
    <w:rsid w:val="007A27C3"/>
    <w:rsid w:val="007A3936"/>
    <w:rsid w:val="007A4D88"/>
    <w:rsid w:val="007A52DA"/>
    <w:rsid w:val="007A6D7E"/>
    <w:rsid w:val="007B0A8F"/>
    <w:rsid w:val="007B0FB8"/>
    <w:rsid w:val="007B10BC"/>
    <w:rsid w:val="007B13DF"/>
    <w:rsid w:val="007B14FF"/>
    <w:rsid w:val="007B2FDC"/>
    <w:rsid w:val="007B3A6B"/>
    <w:rsid w:val="007B48F7"/>
    <w:rsid w:val="007C101C"/>
    <w:rsid w:val="007C10B9"/>
    <w:rsid w:val="007C15D3"/>
    <w:rsid w:val="007C1E6A"/>
    <w:rsid w:val="007C3D9B"/>
    <w:rsid w:val="007C508F"/>
    <w:rsid w:val="007C5D69"/>
    <w:rsid w:val="007C605D"/>
    <w:rsid w:val="007C6DF3"/>
    <w:rsid w:val="007C7E1B"/>
    <w:rsid w:val="007D19D6"/>
    <w:rsid w:val="007D35E2"/>
    <w:rsid w:val="007D4AFA"/>
    <w:rsid w:val="007D6764"/>
    <w:rsid w:val="007E04D0"/>
    <w:rsid w:val="007E12D6"/>
    <w:rsid w:val="007E1796"/>
    <w:rsid w:val="007E209D"/>
    <w:rsid w:val="007E2227"/>
    <w:rsid w:val="007E69AF"/>
    <w:rsid w:val="007E7B1A"/>
    <w:rsid w:val="007F0D93"/>
    <w:rsid w:val="007F31C2"/>
    <w:rsid w:val="007F4B78"/>
    <w:rsid w:val="007F7CD4"/>
    <w:rsid w:val="00800131"/>
    <w:rsid w:val="0080026B"/>
    <w:rsid w:val="00800ABC"/>
    <w:rsid w:val="00803337"/>
    <w:rsid w:val="00803E15"/>
    <w:rsid w:val="00805E9E"/>
    <w:rsid w:val="0081037B"/>
    <w:rsid w:val="00810F58"/>
    <w:rsid w:val="00812B31"/>
    <w:rsid w:val="00815CB2"/>
    <w:rsid w:val="0081782A"/>
    <w:rsid w:val="00820534"/>
    <w:rsid w:val="00821E33"/>
    <w:rsid w:val="00824534"/>
    <w:rsid w:val="00824A77"/>
    <w:rsid w:val="00825A76"/>
    <w:rsid w:val="008273A0"/>
    <w:rsid w:val="008308FB"/>
    <w:rsid w:val="008329DC"/>
    <w:rsid w:val="008348BA"/>
    <w:rsid w:val="00834CE3"/>
    <w:rsid w:val="00835B75"/>
    <w:rsid w:val="00836678"/>
    <w:rsid w:val="00837B82"/>
    <w:rsid w:val="008417D0"/>
    <w:rsid w:val="008438B6"/>
    <w:rsid w:val="008444BC"/>
    <w:rsid w:val="00844A14"/>
    <w:rsid w:val="00847372"/>
    <w:rsid w:val="008477A7"/>
    <w:rsid w:val="00852BC0"/>
    <w:rsid w:val="00854887"/>
    <w:rsid w:val="00854972"/>
    <w:rsid w:val="00855526"/>
    <w:rsid w:val="00857850"/>
    <w:rsid w:val="00860440"/>
    <w:rsid w:val="008604F2"/>
    <w:rsid w:val="00861093"/>
    <w:rsid w:val="00862412"/>
    <w:rsid w:val="00862D88"/>
    <w:rsid w:val="00866463"/>
    <w:rsid w:val="00872814"/>
    <w:rsid w:val="00877807"/>
    <w:rsid w:val="00880BC0"/>
    <w:rsid w:val="00880FCD"/>
    <w:rsid w:val="00883A57"/>
    <w:rsid w:val="008900FD"/>
    <w:rsid w:val="00890183"/>
    <w:rsid w:val="0089373A"/>
    <w:rsid w:val="0089446E"/>
    <w:rsid w:val="00896138"/>
    <w:rsid w:val="008A0BF0"/>
    <w:rsid w:val="008A1B74"/>
    <w:rsid w:val="008A1D14"/>
    <w:rsid w:val="008A29EB"/>
    <w:rsid w:val="008A4C49"/>
    <w:rsid w:val="008A57D3"/>
    <w:rsid w:val="008A6170"/>
    <w:rsid w:val="008A6C66"/>
    <w:rsid w:val="008B1E68"/>
    <w:rsid w:val="008B27D8"/>
    <w:rsid w:val="008B34F7"/>
    <w:rsid w:val="008B5155"/>
    <w:rsid w:val="008C05C2"/>
    <w:rsid w:val="008C0784"/>
    <w:rsid w:val="008C1091"/>
    <w:rsid w:val="008C3CBC"/>
    <w:rsid w:val="008C635C"/>
    <w:rsid w:val="008C6460"/>
    <w:rsid w:val="008C65DA"/>
    <w:rsid w:val="008C68E0"/>
    <w:rsid w:val="008C76C8"/>
    <w:rsid w:val="008D20E7"/>
    <w:rsid w:val="008D22E6"/>
    <w:rsid w:val="008D2E66"/>
    <w:rsid w:val="008D4234"/>
    <w:rsid w:val="008D5642"/>
    <w:rsid w:val="008D63FC"/>
    <w:rsid w:val="008D6590"/>
    <w:rsid w:val="008D6B03"/>
    <w:rsid w:val="008D6C74"/>
    <w:rsid w:val="008D709B"/>
    <w:rsid w:val="008D7272"/>
    <w:rsid w:val="008E0641"/>
    <w:rsid w:val="008E0CE2"/>
    <w:rsid w:val="008E2118"/>
    <w:rsid w:val="008E21AB"/>
    <w:rsid w:val="008E564D"/>
    <w:rsid w:val="008E691A"/>
    <w:rsid w:val="008E6D6C"/>
    <w:rsid w:val="008E7151"/>
    <w:rsid w:val="008E77C1"/>
    <w:rsid w:val="008F0E67"/>
    <w:rsid w:val="008F1A87"/>
    <w:rsid w:val="008F2EE0"/>
    <w:rsid w:val="008F391D"/>
    <w:rsid w:val="008F7CF0"/>
    <w:rsid w:val="00902415"/>
    <w:rsid w:val="00904AD4"/>
    <w:rsid w:val="00907325"/>
    <w:rsid w:val="00912269"/>
    <w:rsid w:val="00913A3B"/>
    <w:rsid w:val="009202C4"/>
    <w:rsid w:val="00927270"/>
    <w:rsid w:val="009278AB"/>
    <w:rsid w:val="00931618"/>
    <w:rsid w:val="00931A48"/>
    <w:rsid w:val="00932013"/>
    <w:rsid w:val="009339C3"/>
    <w:rsid w:val="009346BA"/>
    <w:rsid w:val="00934C41"/>
    <w:rsid w:val="00937751"/>
    <w:rsid w:val="0094061C"/>
    <w:rsid w:val="0094069A"/>
    <w:rsid w:val="00941585"/>
    <w:rsid w:val="00942E20"/>
    <w:rsid w:val="00950EAF"/>
    <w:rsid w:val="00954AD2"/>
    <w:rsid w:val="00955EE6"/>
    <w:rsid w:val="00956880"/>
    <w:rsid w:val="00956AE6"/>
    <w:rsid w:val="00962145"/>
    <w:rsid w:val="00965894"/>
    <w:rsid w:val="00966D2C"/>
    <w:rsid w:val="009672C6"/>
    <w:rsid w:val="00973E8B"/>
    <w:rsid w:val="009755A7"/>
    <w:rsid w:val="00975672"/>
    <w:rsid w:val="0097581C"/>
    <w:rsid w:val="00975886"/>
    <w:rsid w:val="009770AD"/>
    <w:rsid w:val="00981A49"/>
    <w:rsid w:val="00982436"/>
    <w:rsid w:val="009833FF"/>
    <w:rsid w:val="009842FE"/>
    <w:rsid w:val="009858FF"/>
    <w:rsid w:val="00986A21"/>
    <w:rsid w:val="00987FB2"/>
    <w:rsid w:val="00990B62"/>
    <w:rsid w:val="00994613"/>
    <w:rsid w:val="00994AC3"/>
    <w:rsid w:val="00996119"/>
    <w:rsid w:val="0099619A"/>
    <w:rsid w:val="009969F4"/>
    <w:rsid w:val="00996DD1"/>
    <w:rsid w:val="00997588"/>
    <w:rsid w:val="009A1265"/>
    <w:rsid w:val="009A56BA"/>
    <w:rsid w:val="009A5BDF"/>
    <w:rsid w:val="009A6649"/>
    <w:rsid w:val="009A6699"/>
    <w:rsid w:val="009A6FEA"/>
    <w:rsid w:val="009B14C3"/>
    <w:rsid w:val="009B1C74"/>
    <w:rsid w:val="009B1E51"/>
    <w:rsid w:val="009B3EE8"/>
    <w:rsid w:val="009B4998"/>
    <w:rsid w:val="009C20E2"/>
    <w:rsid w:val="009C2ECB"/>
    <w:rsid w:val="009C30C7"/>
    <w:rsid w:val="009C49B1"/>
    <w:rsid w:val="009C61CA"/>
    <w:rsid w:val="009D21F2"/>
    <w:rsid w:val="009D255A"/>
    <w:rsid w:val="009D45FE"/>
    <w:rsid w:val="009D5591"/>
    <w:rsid w:val="009D5C78"/>
    <w:rsid w:val="009D634C"/>
    <w:rsid w:val="009E1907"/>
    <w:rsid w:val="009E1D3A"/>
    <w:rsid w:val="009E2F7E"/>
    <w:rsid w:val="009E35B1"/>
    <w:rsid w:val="009E4E35"/>
    <w:rsid w:val="009E6FD1"/>
    <w:rsid w:val="009E7414"/>
    <w:rsid w:val="009E7F5F"/>
    <w:rsid w:val="009F1B46"/>
    <w:rsid w:val="009F26CD"/>
    <w:rsid w:val="009F535F"/>
    <w:rsid w:val="009F56E3"/>
    <w:rsid w:val="009F6DAA"/>
    <w:rsid w:val="009F7FB7"/>
    <w:rsid w:val="00A008DC"/>
    <w:rsid w:val="00A00B1A"/>
    <w:rsid w:val="00A01C1C"/>
    <w:rsid w:val="00A02991"/>
    <w:rsid w:val="00A02BFD"/>
    <w:rsid w:val="00A041CB"/>
    <w:rsid w:val="00A0485E"/>
    <w:rsid w:val="00A04FCA"/>
    <w:rsid w:val="00A05C74"/>
    <w:rsid w:val="00A06421"/>
    <w:rsid w:val="00A0652F"/>
    <w:rsid w:val="00A07A57"/>
    <w:rsid w:val="00A10983"/>
    <w:rsid w:val="00A1104C"/>
    <w:rsid w:val="00A11D2E"/>
    <w:rsid w:val="00A14DE7"/>
    <w:rsid w:val="00A14E06"/>
    <w:rsid w:val="00A16EFE"/>
    <w:rsid w:val="00A205DB"/>
    <w:rsid w:val="00A207BD"/>
    <w:rsid w:val="00A22A41"/>
    <w:rsid w:val="00A242CD"/>
    <w:rsid w:val="00A25D7B"/>
    <w:rsid w:val="00A260CC"/>
    <w:rsid w:val="00A268C9"/>
    <w:rsid w:val="00A27E00"/>
    <w:rsid w:val="00A31D53"/>
    <w:rsid w:val="00A33688"/>
    <w:rsid w:val="00A341DC"/>
    <w:rsid w:val="00A354D8"/>
    <w:rsid w:val="00A35726"/>
    <w:rsid w:val="00A402CD"/>
    <w:rsid w:val="00A414A2"/>
    <w:rsid w:val="00A432A7"/>
    <w:rsid w:val="00A4513D"/>
    <w:rsid w:val="00A4529A"/>
    <w:rsid w:val="00A45506"/>
    <w:rsid w:val="00A4718F"/>
    <w:rsid w:val="00A47BDB"/>
    <w:rsid w:val="00A51665"/>
    <w:rsid w:val="00A5197B"/>
    <w:rsid w:val="00A5499F"/>
    <w:rsid w:val="00A5527F"/>
    <w:rsid w:val="00A5605B"/>
    <w:rsid w:val="00A56DF8"/>
    <w:rsid w:val="00A56F98"/>
    <w:rsid w:val="00A60EDE"/>
    <w:rsid w:val="00A612AF"/>
    <w:rsid w:val="00A628E0"/>
    <w:rsid w:val="00A63ACB"/>
    <w:rsid w:val="00A641A7"/>
    <w:rsid w:val="00A65908"/>
    <w:rsid w:val="00A66A02"/>
    <w:rsid w:val="00A707E1"/>
    <w:rsid w:val="00A71AAA"/>
    <w:rsid w:val="00A72F6A"/>
    <w:rsid w:val="00A73E82"/>
    <w:rsid w:val="00A74185"/>
    <w:rsid w:val="00A7418B"/>
    <w:rsid w:val="00A76751"/>
    <w:rsid w:val="00A77F6A"/>
    <w:rsid w:val="00A80025"/>
    <w:rsid w:val="00A84407"/>
    <w:rsid w:val="00A849DD"/>
    <w:rsid w:val="00A850E7"/>
    <w:rsid w:val="00A85181"/>
    <w:rsid w:val="00A85F73"/>
    <w:rsid w:val="00A90AE8"/>
    <w:rsid w:val="00A91794"/>
    <w:rsid w:val="00A91D56"/>
    <w:rsid w:val="00A9293C"/>
    <w:rsid w:val="00A93020"/>
    <w:rsid w:val="00A93AB5"/>
    <w:rsid w:val="00A940B4"/>
    <w:rsid w:val="00A95BE9"/>
    <w:rsid w:val="00AA2DA1"/>
    <w:rsid w:val="00AA638D"/>
    <w:rsid w:val="00AA749D"/>
    <w:rsid w:val="00AA762C"/>
    <w:rsid w:val="00AB05D6"/>
    <w:rsid w:val="00AB3199"/>
    <w:rsid w:val="00AB375E"/>
    <w:rsid w:val="00AB574D"/>
    <w:rsid w:val="00AB664E"/>
    <w:rsid w:val="00AB6FDB"/>
    <w:rsid w:val="00AC190A"/>
    <w:rsid w:val="00AC2061"/>
    <w:rsid w:val="00AC4140"/>
    <w:rsid w:val="00AC4F68"/>
    <w:rsid w:val="00AC520C"/>
    <w:rsid w:val="00AC628A"/>
    <w:rsid w:val="00AD04C1"/>
    <w:rsid w:val="00AD0C28"/>
    <w:rsid w:val="00AD3AC0"/>
    <w:rsid w:val="00AD3B92"/>
    <w:rsid w:val="00AD55AA"/>
    <w:rsid w:val="00AD5A0E"/>
    <w:rsid w:val="00AD61C7"/>
    <w:rsid w:val="00AD6C8A"/>
    <w:rsid w:val="00AD7335"/>
    <w:rsid w:val="00AE043A"/>
    <w:rsid w:val="00AE1189"/>
    <w:rsid w:val="00AE18CB"/>
    <w:rsid w:val="00AE1D30"/>
    <w:rsid w:val="00AE457F"/>
    <w:rsid w:val="00AE47B4"/>
    <w:rsid w:val="00AE4B07"/>
    <w:rsid w:val="00AE543D"/>
    <w:rsid w:val="00AE69B9"/>
    <w:rsid w:val="00AF1F17"/>
    <w:rsid w:val="00AF2F29"/>
    <w:rsid w:val="00AF346A"/>
    <w:rsid w:val="00AF3E5B"/>
    <w:rsid w:val="00AF3FF0"/>
    <w:rsid w:val="00AF47AD"/>
    <w:rsid w:val="00AF60D9"/>
    <w:rsid w:val="00AF6451"/>
    <w:rsid w:val="00AF673D"/>
    <w:rsid w:val="00AF7025"/>
    <w:rsid w:val="00AF702E"/>
    <w:rsid w:val="00AF7D03"/>
    <w:rsid w:val="00AF7E2B"/>
    <w:rsid w:val="00B011D7"/>
    <w:rsid w:val="00B01B98"/>
    <w:rsid w:val="00B0319F"/>
    <w:rsid w:val="00B05024"/>
    <w:rsid w:val="00B053DE"/>
    <w:rsid w:val="00B05654"/>
    <w:rsid w:val="00B06CDE"/>
    <w:rsid w:val="00B06F8C"/>
    <w:rsid w:val="00B07167"/>
    <w:rsid w:val="00B07672"/>
    <w:rsid w:val="00B1432B"/>
    <w:rsid w:val="00B14E36"/>
    <w:rsid w:val="00B16A3E"/>
    <w:rsid w:val="00B2002E"/>
    <w:rsid w:val="00B21CCB"/>
    <w:rsid w:val="00B24671"/>
    <w:rsid w:val="00B24B6E"/>
    <w:rsid w:val="00B26281"/>
    <w:rsid w:val="00B27386"/>
    <w:rsid w:val="00B2766A"/>
    <w:rsid w:val="00B2776B"/>
    <w:rsid w:val="00B3005D"/>
    <w:rsid w:val="00B3329B"/>
    <w:rsid w:val="00B34FF3"/>
    <w:rsid w:val="00B37493"/>
    <w:rsid w:val="00B411CB"/>
    <w:rsid w:val="00B46556"/>
    <w:rsid w:val="00B5341A"/>
    <w:rsid w:val="00B53B3C"/>
    <w:rsid w:val="00B53F91"/>
    <w:rsid w:val="00B54169"/>
    <w:rsid w:val="00B568D9"/>
    <w:rsid w:val="00B603DC"/>
    <w:rsid w:val="00B612B6"/>
    <w:rsid w:val="00B61C21"/>
    <w:rsid w:val="00B62EDE"/>
    <w:rsid w:val="00B63395"/>
    <w:rsid w:val="00B637A0"/>
    <w:rsid w:val="00B6457A"/>
    <w:rsid w:val="00B64659"/>
    <w:rsid w:val="00B64EF5"/>
    <w:rsid w:val="00B65A9D"/>
    <w:rsid w:val="00B66F31"/>
    <w:rsid w:val="00B70F17"/>
    <w:rsid w:val="00B71222"/>
    <w:rsid w:val="00B714D3"/>
    <w:rsid w:val="00B7270E"/>
    <w:rsid w:val="00B73DAE"/>
    <w:rsid w:val="00B741C3"/>
    <w:rsid w:val="00B7461B"/>
    <w:rsid w:val="00B76C9D"/>
    <w:rsid w:val="00B772D9"/>
    <w:rsid w:val="00B80DD6"/>
    <w:rsid w:val="00B80EF7"/>
    <w:rsid w:val="00B816F0"/>
    <w:rsid w:val="00B82865"/>
    <w:rsid w:val="00B831BA"/>
    <w:rsid w:val="00B847AF"/>
    <w:rsid w:val="00B84F61"/>
    <w:rsid w:val="00B84FB6"/>
    <w:rsid w:val="00B900AE"/>
    <w:rsid w:val="00B90DF9"/>
    <w:rsid w:val="00B91A97"/>
    <w:rsid w:val="00B96A66"/>
    <w:rsid w:val="00BA01D9"/>
    <w:rsid w:val="00BA0C4C"/>
    <w:rsid w:val="00BA1CB8"/>
    <w:rsid w:val="00BA1E04"/>
    <w:rsid w:val="00BA21C3"/>
    <w:rsid w:val="00BA5677"/>
    <w:rsid w:val="00BA7277"/>
    <w:rsid w:val="00BA7D1C"/>
    <w:rsid w:val="00BA7F86"/>
    <w:rsid w:val="00BB04D5"/>
    <w:rsid w:val="00BB38F1"/>
    <w:rsid w:val="00BB62AC"/>
    <w:rsid w:val="00BB72D2"/>
    <w:rsid w:val="00BB7E78"/>
    <w:rsid w:val="00BB7F0A"/>
    <w:rsid w:val="00BC060A"/>
    <w:rsid w:val="00BC0F47"/>
    <w:rsid w:val="00BC5C99"/>
    <w:rsid w:val="00BC5CBB"/>
    <w:rsid w:val="00BC71F5"/>
    <w:rsid w:val="00BC7E9C"/>
    <w:rsid w:val="00BD2716"/>
    <w:rsid w:val="00BD41F3"/>
    <w:rsid w:val="00BD46E1"/>
    <w:rsid w:val="00BD472B"/>
    <w:rsid w:val="00BD55D0"/>
    <w:rsid w:val="00BE156B"/>
    <w:rsid w:val="00BE1DE5"/>
    <w:rsid w:val="00BE2217"/>
    <w:rsid w:val="00BE275B"/>
    <w:rsid w:val="00BE34F5"/>
    <w:rsid w:val="00BE4250"/>
    <w:rsid w:val="00BE4E01"/>
    <w:rsid w:val="00BE5A07"/>
    <w:rsid w:val="00BE7B93"/>
    <w:rsid w:val="00BF0AE9"/>
    <w:rsid w:val="00BF116C"/>
    <w:rsid w:val="00BF2728"/>
    <w:rsid w:val="00BF507B"/>
    <w:rsid w:val="00BF605B"/>
    <w:rsid w:val="00BF6A9B"/>
    <w:rsid w:val="00BF6EE1"/>
    <w:rsid w:val="00C038EC"/>
    <w:rsid w:val="00C052A2"/>
    <w:rsid w:val="00C151FC"/>
    <w:rsid w:val="00C1743A"/>
    <w:rsid w:val="00C17B29"/>
    <w:rsid w:val="00C206D3"/>
    <w:rsid w:val="00C23356"/>
    <w:rsid w:val="00C2485E"/>
    <w:rsid w:val="00C272ED"/>
    <w:rsid w:val="00C27A92"/>
    <w:rsid w:val="00C31153"/>
    <w:rsid w:val="00C32638"/>
    <w:rsid w:val="00C34AD8"/>
    <w:rsid w:val="00C36039"/>
    <w:rsid w:val="00C37513"/>
    <w:rsid w:val="00C40AE5"/>
    <w:rsid w:val="00C42C66"/>
    <w:rsid w:val="00C448B5"/>
    <w:rsid w:val="00C46E43"/>
    <w:rsid w:val="00C472B2"/>
    <w:rsid w:val="00C50179"/>
    <w:rsid w:val="00C5199C"/>
    <w:rsid w:val="00C52B1B"/>
    <w:rsid w:val="00C52C4F"/>
    <w:rsid w:val="00C5327F"/>
    <w:rsid w:val="00C53AE4"/>
    <w:rsid w:val="00C54B18"/>
    <w:rsid w:val="00C57E20"/>
    <w:rsid w:val="00C61E1F"/>
    <w:rsid w:val="00C658D1"/>
    <w:rsid w:val="00C70AC3"/>
    <w:rsid w:val="00C738BF"/>
    <w:rsid w:val="00C76CB0"/>
    <w:rsid w:val="00C777B5"/>
    <w:rsid w:val="00C80826"/>
    <w:rsid w:val="00C80ED4"/>
    <w:rsid w:val="00C8146D"/>
    <w:rsid w:val="00C83CE8"/>
    <w:rsid w:val="00C83ECB"/>
    <w:rsid w:val="00C849EB"/>
    <w:rsid w:val="00C8585D"/>
    <w:rsid w:val="00C868BD"/>
    <w:rsid w:val="00C87982"/>
    <w:rsid w:val="00C901DF"/>
    <w:rsid w:val="00C9308F"/>
    <w:rsid w:val="00C94C4B"/>
    <w:rsid w:val="00C94FB1"/>
    <w:rsid w:val="00C95B1B"/>
    <w:rsid w:val="00C95EBA"/>
    <w:rsid w:val="00C96AA5"/>
    <w:rsid w:val="00C96D8B"/>
    <w:rsid w:val="00C97746"/>
    <w:rsid w:val="00CA0F87"/>
    <w:rsid w:val="00CA4ED5"/>
    <w:rsid w:val="00CA772C"/>
    <w:rsid w:val="00CB451C"/>
    <w:rsid w:val="00CB687E"/>
    <w:rsid w:val="00CB738D"/>
    <w:rsid w:val="00CC018B"/>
    <w:rsid w:val="00CC08DF"/>
    <w:rsid w:val="00CC2920"/>
    <w:rsid w:val="00CC3C10"/>
    <w:rsid w:val="00CC53DD"/>
    <w:rsid w:val="00CC5D7D"/>
    <w:rsid w:val="00CC6B81"/>
    <w:rsid w:val="00CC6EE4"/>
    <w:rsid w:val="00CC78CC"/>
    <w:rsid w:val="00CC7CB0"/>
    <w:rsid w:val="00CD08E8"/>
    <w:rsid w:val="00CD106D"/>
    <w:rsid w:val="00CD3462"/>
    <w:rsid w:val="00CD7CE9"/>
    <w:rsid w:val="00CE027A"/>
    <w:rsid w:val="00CE0569"/>
    <w:rsid w:val="00CE08B2"/>
    <w:rsid w:val="00CE0DE7"/>
    <w:rsid w:val="00CE17F9"/>
    <w:rsid w:val="00CE18BD"/>
    <w:rsid w:val="00CE29B7"/>
    <w:rsid w:val="00CE3142"/>
    <w:rsid w:val="00CE355B"/>
    <w:rsid w:val="00CE44FD"/>
    <w:rsid w:val="00CE4808"/>
    <w:rsid w:val="00CE549B"/>
    <w:rsid w:val="00CE6D48"/>
    <w:rsid w:val="00CE7FD3"/>
    <w:rsid w:val="00CF0E4F"/>
    <w:rsid w:val="00CF32EB"/>
    <w:rsid w:val="00CF33D0"/>
    <w:rsid w:val="00CF4063"/>
    <w:rsid w:val="00CF4EF2"/>
    <w:rsid w:val="00CF546D"/>
    <w:rsid w:val="00CF54CB"/>
    <w:rsid w:val="00CF6DB1"/>
    <w:rsid w:val="00CF6DF0"/>
    <w:rsid w:val="00CF7461"/>
    <w:rsid w:val="00D009D0"/>
    <w:rsid w:val="00D01A61"/>
    <w:rsid w:val="00D02C01"/>
    <w:rsid w:val="00D02E28"/>
    <w:rsid w:val="00D0348F"/>
    <w:rsid w:val="00D04087"/>
    <w:rsid w:val="00D052C5"/>
    <w:rsid w:val="00D05804"/>
    <w:rsid w:val="00D0586F"/>
    <w:rsid w:val="00D06225"/>
    <w:rsid w:val="00D06B2C"/>
    <w:rsid w:val="00D07B55"/>
    <w:rsid w:val="00D07FDA"/>
    <w:rsid w:val="00D10CA1"/>
    <w:rsid w:val="00D15662"/>
    <w:rsid w:val="00D161D1"/>
    <w:rsid w:val="00D2032C"/>
    <w:rsid w:val="00D2102B"/>
    <w:rsid w:val="00D230D1"/>
    <w:rsid w:val="00D262B3"/>
    <w:rsid w:val="00D26793"/>
    <w:rsid w:val="00D27E30"/>
    <w:rsid w:val="00D342C2"/>
    <w:rsid w:val="00D34423"/>
    <w:rsid w:val="00D357EE"/>
    <w:rsid w:val="00D371D1"/>
    <w:rsid w:val="00D37CF3"/>
    <w:rsid w:val="00D406EA"/>
    <w:rsid w:val="00D415E5"/>
    <w:rsid w:val="00D42899"/>
    <w:rsid w:val="00D43614"/>
    <w:rsid w:val="00D43700"/>
    <w:rsid w:val="00D43EE4"/>
    <w:rsid w:val="00D55768"/>
    <w:rsid w:val="00D575D0"/>
    <w:rsid w:val="00D616EA"/>
    <w:rsid w:val="00D6246C"/>
    <w:rsid w:val="00D63B38"/>
    <w:rsid w:val="00D650CC"/>
    <w:rsid w:val="00D6573B"/>
    <w:rsid w:val="00D65ABB"/>
    <w:rsid w:val="00D665C1"/>
    <w:rsid w:val="00D6767D"/>
    <w:rsid w:val="00D71D17"/>
    <w:rsid w:val="00D75447"/>
    <w:rsid w:val="00D75846"/>
    <w:rsid w:val="00D768D5"/>
    <w:rsid w:val="00D80DF6"/>
    <w:rsid w:val="00D81608"/>
    <w:rsid w:val="00D8216E"/>
    <w:rsid w:val="00D83C89"/>
    <w:rsid w:val="00D8474A"/>
    <w:rsid w:val="00D91D0E"/>
    <w:rsid w:val="00D91DE9"/>
    <w:rsid w:val="00D93350"/>
    <w:rsid w:val="00D93769"/>
    <w:rsid w:val="00D93D46"/>
    <w:rsid w:val="00D94616"/>
    <w:rsid w:val="00D953DA"/>
    <w:rsid w:val="00D956F4"/>
    <w:rsid w:val="00D95922"/>
    <w:rsid w:val="00D97F5A"/>
    <w:rsid w:val="00DA0E02"/>
    <w:rsid w:val="00DA162D"/>
    <w:rsid w:val="00DA16F7"/>
    <w:rsid w:val="00DA3011"/>
    <w:rsid w:val="00DA3558"/>
    <w:rsid w:val="00DA3B36"/>
    <w:rsid w:val="00DA623B"/>
    <w:rsid w:val="00DA6DAA"/>
    <w:rsid w:val="00DA72F8"/>
    <w:rsid w:val="00DA7479"/>
    <w:rsid w:val="00DA7CC2"/>
    <w:rsid w:val="00DB0AEA"/>
    <w:rsid w:val="00DB4237"/>
    <w:rsid w:val="00DC1B65"/>
    <w:rsid w:val="00DC2410"/>
    <w:rsid w:val="00DC2D0F"/>
    <w:rsid w:val="00DC37E5"/>
    <w:rsid w:val="00DC3894"/>
    <w:rsid w:val="00DC48AF"/>
    <w:rsid w:val="00DC4D48"/>
    <w:rsid w:val="00DC6A22"/>
    <w:rsid w:val="00DD068D"/>
    <w:rsid w:val="00DD1DD5"/>
    <w:rsid w:val="00DD2931"/>
    <w:rsid w:val="00DD3E6A"/>
    <w:rsid w:val="00DD5061"/>
    <w:rsid w:val="00DD5CB8"/>
    <w:rsid w:val="00DD6017"/>
    <w:rsid w:val="00DD6678"/>
    <w:rsid w:val="00DE1E98"/>
    <w:rsid w:val="00DE2518"/>
    <w:rsid w:val="00DE3015"/>
    <w:rsid w:val="00DE3CD3"/>
    <w:rsid w:val="00DE5381"/>
    <w:rsid w:val="00DE5B26"/>
    <w:rsid w:val="00DE5B9E"/>
    <w:rsid w:val="00DE6E51"/>
    <w:rsid w:val="00DF2502"/>
    <w:rsid w:val="00DF3256"/>
    <w:rsid w:val="00DF6742"/>
    <w:rsid w:val="00E0008A"/>
    <w:rsid w:val="00E012DD"/>
    <w:rsid w:val="00E029CE"/>
    <w:rsid w:val="00E03388"/>
    <w:rsid w:val="00E04A34"/>
    <w:rsid w:val="00E0570A"/>
    <w:rsid w:val="00E06E82"/>
    <w:rsid w:val="00E101C5"/>
    <w:rsid w:val="00E10610"/>
    <w:rsid w:val="00E15304"/>
    <w:rsid w:val="00E20159"/>
    <w:rsid w:val="00E215F6"/>
    <w:rsid w:val="00E21C87"/>
    <w:rsid w:val="00E22709"/>
    <w:rsid w:val="00E23463"/>
    <w:rsid w:val="00E26C58"/>
    <w:rsid w:val="00E26F57"/>
    <w:rsid w:val="00E30438"/>
    <w:rsid w:val="00E3136E"/>
    <w:rsid w:val="00E35505"/>
    <w:rsid w:val="00E35E99"/>
    <w:rsid w:val="00E361B3"/>
    <w:rsid w:val="00E36AF7"/>
    <w:rsid w:val="00E371BB"/>
    <w:rsid w:val="00E46FB6"/>
    <w:rsid w:val="00E51AA6"/>
    <w:rsid w:val="00E525E6"/>
    <w:rsid w:val="00E53AE5"/>
    <w:rsid w:val="00E54979"/>
    <w:rsid w:val="00E5533C"/>
    <w:rsid w:val="00E55F48"/>
    <w:rsid w:val="00E57EE0"/>
    <w:rsid w:val="00E6149D"/>
    <w:rsid w:val="00E6262A"/>
    <w:rsid w:val="00E6346D"/>
    <w:rsid w:val="00E64E8D"/>
    <w:rsid w:val="00E651D3"/>
    <w:rsid w:val="00E65224"/>
    <w:rsid w:val="00E67A79"/>
    <w:rsid w:val="00E67BAA"/>
    <w:rsid w:val="00E70026"/>
    <w:rsid w:val="00E72C3E"/>
    <w:rsid w:val="00E7587B"/>
    <w:rsid w:val="00E758D7"/>
    <w:rsid w:val="00E7702D"/>
    <w:rsid w:val="00E773D3"/>
    <w:rsid w:val="00E8030D"/>
    <w:rsid w:val="00E80CD1"/>
    <w:rsid w:val="00E8106B"/>
    <w:rsid w:val="00E83086"/>
    <w:rsid w:val="00E83F4E"/>
    <w:rsid w:val="00E8488B"/>
    <w:rsid w:val="00E84E07"/>
    <w:rsid w:val="00E8534B"/>
    <w:rsid w:val="00E855E7"/>
    <w:rsid w:val="00E8656D"/>
    <w:rsid w:val="00E86F13"/>
    <w:rsid w:val="00E87736"/>
    <w:rsid w:val="00E87A82"/>
    <w:rsid w:val="00E92973"/>
    <w:rsid w:val="00E93B67"/>
    <w:rsid w:val="00E95405"/>
    <w:rsid w:val="00E96C98"/>
    <w:rsid w:val="00E96F83"/>
    <w:rsid w:val="00E9712E"/>
    <w:rsid w:val="00E97D18"/>
    <w:rsid w:val="00E97E5D"/>
    <w:rsid w:val="00E97F33"/>
    <w:rsid w:val="00EA275C"/>
    <w:rsid w:val="00EA2A9B"/>
    <w:rsid w:val="00EA2AA0"/>
    <w:rsid w:val="00EA526D"/>
    <w:rsid w:val="00EA572E"/>
    <w:rsid w:val="00EA6785"/>
    <w:rsid w:val="00EA751A"/>
    <w:rsid w:val="00EB197C"/>
    <w:rsid w:val="00EB43DC"/>
    <w:rsid w:val="00EB4BC5"/>
    <w:rsid w:val="00EB59BE"/>
    <w:rsid w:val="00EB5FEC"/>
    <w:rsid w:val="00EC14C9"/>
    <w:rsid w:val="00EC284A"/>
    <w:rsid w:val="00EC35EB"/>
    <w:rsid w:val="00EC371B"/>
    <w:rsid w:val="00EC3CC7"/>
    <w:rsid w:val="00EC5E8F"/>
    <w:rsid w:val="00EC791C"/>
    <w:rsid w:val="00EC7EF9"/>
    <w:rsid w:val="00ED191D"/>
    <w:rsid w:val="00ED321D"/>
    <w:rsid w:val="00ED38FD"/>
    <w:rsid w:val="00ED3EC4"/>
    <w:rsid w:val="00ED4163"/>
    <w:rsid w:val="00ED6314"/>
    <w:rsid w:val="00ED7842"/>
    <w:rsid w:val="00EE04DB"/>
    <w:rsid w:val="00EE089E"/>
    <w:rsid w:val="00EE098D"/>
    <w:rsid w:val="00EE1A60"/>
    <w:rsid w:val="00EE33EC"/>
    <w:rsid w:val="00EE5312"/>
    <w:rsid w:val="00EE5CEB"/>
    <w:rsid w:val="00EF16B8"/>
    <w:rsid w:val="00EF2317"/>
    <w:rsid w:val="00EF2554"/>
    <w:rsid w:val="00EF5F5D"/>
    <w:rsid w:val="00EF7194"/>
    <w:rsid w:val="00EF7611"/>
    <w:rsid w:val="00EF7F38"/>
    <w:rsid w:val="00F0053C"/>
    <w:rsid w:val="00F049CB"/>
    <w:rsid w:val="00F05508"/>
    <w:rsid w:val="00F10E16"/>
    <w:rsid w:val="00F1100C"/>
    <w:rsid w:val="00F136DB"/>
    <w:rsid w:val="00F15350"/>
    <w:rsid w:val="00F15403"/>
    <w:rsid w:val="00F15E1C"/>
    <w:rsid w:val="00F16478"/>
    <w:rsid w:val="00F173FB"/>
    <w:rsid w:val="00F17CF0"/>
    <w:rsid w:val="00F17F00"/>
    <w:rsid w:val="00F20186"/>
    <w:rsid w:val="00F20293"/>
    <w:rsid w:val="00F20414"/>
    <w:rsid w:val="00F22194"/>
    <w:rsid w:val="00F22DB6"/>
    <w:rsid w:val="00F23B6E"/>
    <w:rsid w:val="00F23D03"/>
    <w:rsid w:val="00F248F6"/>
    <w:rsid w:val="00F2550C"/>
    <w:rsid w:val="00F2747B"/>
    <w:rsid w:val="00F3033A"/>
    <w:rsid w:val="00F30583"/>
    <w:rsid w:val="00F3062E"/>
    <w:rsid w:val="00F30979"/>
    <w:rsid w:val="00F31EAB"/>
    <w:rsid w:val="00F33996"/>
    <w:rsid w:val="00F35207"/>
    <w:rsid w:val="00F35935"/>
    <w:rsid w:val="00F36A24"/>
    <w:rsid w:val="00F36A71"/>
    <w:rsid w:val="00F40043"/>
    <w:rsid w:val="00F4008D"/>
    <w:rsid w:val="00F41B50"/>
    <w:rsid w:val="00F44A60"/>
    <w:rsid w:val="00F453E1"/>
    <w:rsid w:val="00F45416"/>
    <w:rsid w:val="00F465EE"/>
    <w:rsid w:val="00F51201"/>
    <w:rsid w:val="00F549A7"/>
    <w:rsid w:val="00F561AF"/>
    <w:rsid w:val="00F562D7"/>
    <w:rsid w:val="00F56D77"/>
    <w:rsid w:val="00F5771B"/>
    <w:rsid w:val="00F60C66"/>
    <w:rsid w:val="00F60C68"/>
    <w:rsid w:val="00F62441"/>
    <w:rsid w:val="00F62483"/>
    <w:rsid w:val="00F63F3A"/>
    <w:rsid w:val="00F64069"/>
    <w:rsid w:val="00F647B4"/>
    <w:rsid w:val="00F65C10"/>
    <w:rsid w:val="00F65E09"/>
    <w:rsid w:val="00F66F3A"/>
    <w:rsid w:val="00F7239C"/>
    <w:rsid w:val="00F72456"/>
    <w:rsid w:val="00F743E8"/>
    <w:rsid w:val="00F76A61"/>
    <w:rsid w:val="00F779A2"/>
    <w:rsid w:val="00F80FFB"/>
    <w:rsid w:val="00F81746"/>
    <w:rsid w:val="00F8235A"/>
    <w:rsid w:val="00F82D0F"/>
    <w:rsid w:val="00F83732"/>
    <w:rsid w:val="00F868D2"/>
    <w:rsid w:val="00F8693F"/>
    <w:rsid w:val="00F86B14"/>
    <w:rsid w:val="00F90125"/>
    <w:rsid w:val="00F92A63"/>
    <w:rsid w:val="00F936C8"/>
    <w:rsid w:val="00F949F0"/>
    <w:rsid w:val="00F95AB4"/>
    <w:rsid w:val="00FA00DF"/>
    <w:rsid w:val="00FA0329"/>
    <w:rsid w:val="00FA032C"/>
    <w:rsid w:val="00FA20E2"/>
    <w:rsid w:val="00FA2A54"/>
    <w:rsid w:val="00FA3C8D"/>
    <w:rsid w:val="00FA41C8"/>
    <w:rsid w:val="00FA495F"/>
    <w:rsid w:val="00FA4D27"/>
    <w:rsid w:val="00FA5721"/>
    <w:rsid w:val="00FA7B47"/>
    <w:rsid w:val="00FB040A"/>
    <w:rsid w:val="00FB21BB"/>
    <w:rsid w:val="00FB4818"/>
    <w:rsid w:val="00FC005C"/>
    <w:rsid w:val="00FC1138"/>
    <w:rsid w:val="00FC1912"/>
    <w:rsid w:val="00FC2422"/>
    <w:rsid w:val="00FC301A"/>
    <w:rsid w:val="00FC63EB"/>
    <w:rsid w:val="00FC697A"/>
    <w:rsid w:val="00FC70E3"/>
    <w:rsid w:val="00FD03F5"/>
    <w:rsid w:val="00FD35F8"/>
    <w:rsid w:val="00FD3C03"/>
    <w:rsid w:val="00FD5004"/>
    <w:rsid w:val="00FD5942"/>
    <w:rsid w:val="00FD6608"/>
    <w:rsid w:val="00FE186B"/>
    <w:rsid w:val="00FE3C70"/>
    <w:rsid w:val="00FE44FD"/>
    <w:rsid w:val="00FE5469"/>
    <w:rsid w:val="00FE6CD7"/>
    <w:rsid w:val="00FE70A8"/>
    <w:rsid w:val="00FF14D6"/>
    <w:rsid w:val="00FF2A31"/>
    <w:rsid w:val="00FF2A89"/>
    <w:rsid w:val="00FF440D"/>
    <w:rsid w:val="00FF678A"/>
    <w:rsid w:val="00FF6BA5"/>
    <w:rsid w:val="00FF71F7"/>
    <w:rsid w:val="00FF744B"/>
    <w:rsid w:val="00FF7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E317E"/>
  <w15:chartTrackingRefBased/>
  <w15:docId w15:val="{17E7F6E9-63E4-BC42-92E6-9F10C6A7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9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66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D5664"/>
  </w:style>
  <w:style w:type="paragraph" w:styleId="Footer">
    <w:name w:val="footer"/>
    <w:basedOn w:val="Normal"/>
    <w:link w:val="FooterChar"/>
    <w:uiPriority w:val="99"/>
    <w:unhideWhenUsed/>
    <w:rsid w:val="000D566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D5664"/>
  </w:style>
  <w:style w:type="character" w:styleId="PageNumber">
    <w:name w:val="page number"/>
    <w:basedOn w:val="DefaultParagraphFont"/>
    <w:uiPriority w:val="99"/>
    <w:semiHidden/>
    <w:unhideWhenUsed/>
    <w:rsid w:val="00596DB9"/>
  </w:style>
  <w:style w:type="character" w:styleId="CommentReference">
    <w:name w:val="annotation reference"/>
    <w:basedOn w:val="DefaultParagraphFont"/>
    <w:uiPriority w:val="99"/>
    <w:semiHidden/>
    <w:unhideWhenUsed/>
    <w:rsid w:val="00596DB9"/>
    <w:rPr>
      <w:sz w:val="16"/>
      <w:szCs w:val="16"/>
    </w:rPr>
  </w:style>
  <w:style w:type="paragraph" w:styleId="CommentText">
    <w:name w:val="annotation text"/>
    <w:basedOn w:val="Normal"/>
    <w:link w:val="CommentTextChar"/>
    <w:uiPriority w:val="99"/>
    <w:unhideWhenUsed/>
    <w:rsid w:val="00596DB9"/>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96DB9"/>
    <w:rPr>
      <w:sz w:val="20"/>
      <w:szCs w:val="20"/>
    </w:rPr>
  </w:style>
  <w:style w:type="paragraph" w:styleId="CommentSubject">
    <w:name w:val="annotation subject"/>
    <w:basedOn w:val="CommentText"/>
    <w:next w:val="CommentText"/>
    <w:link w:val="CommentSubjectChar"/>
    <w:uiPriority w:val="99"/>
    <w:semiHidden/>
    <w:unhideWhenUsed/>
    <w:rsid w:val="00596DB9"/>
    <w:rPr>
      <w:b/>
      <w:bCs/>
    </w:rPr>
  </w:style>
  <w:style w:type="character" w:customStyle="1" w:styleId="CommentSubjectChar">
    <w:name w:val="Comment Subject Char"/>
    <w:basedOn w:val="CommentTextChar"/>
    <w:link w:val="CommentSubject"/>
    <w:uiPriority w:val="99"/>
    <w:semiHidden/>
    <w:rsid w:val="00596DB9"/>
    <w:rPr>
      <w:b/>
      <w:bCs/>
      <w:sz w:val="20"/>
      <w:szCs w:val="20"/>
    </w:rPr>
  </w:style>
  <w:style w:type="paragraph" w:styleId="BalloonText">
    <w:name w:val="Balloon Text"/>
    <w:basedOn w:val="Normal"/>
    <w:link w:val="BalloonTextChar"/>
    <w:uiPriority w:val="99"/>
    <w:semiHidden/>
    <w:unhideWhenUsed/>
    <w:rsid w:val="00596DB9"/>
    <w:rPr>
      <w:rFonts w:eastAsiaTheme="minorHAnsi"/>
      <w:sz w:val="18"/>
      <w:szCs w:val="18"/>
    </w:rPr>
  </w:style>
  <w:style w:type="character" w:customStyle="1" w:styleId="BalloonTextChar">
    <w:name w:val="Balloon Text Char"/>
    <w:basedOn w:val="DefaultParagraphFont"/>
    <w:link w:val="BalloonText"/>
    <w:uiPriority w:val="99"/>
    <w:semiHidden/>
    <w:rsid w:val="00596DB9"/>
    <w:rPr>
      <w:rFonts w:ascii="Times New Roman" w:hAnsi="Times New Roman" w:cs="Times New Roman"/>
      <w:sz w:val="18"/>
      <w:szCs w:val="18"/>
    </w:rPr>
  </w:style>
  <w:style w:type="character" w:styleId="Strong">
    <w:name w:val="Strong"/>
    <w:basedOn w:val="DefaultParagraphFont"/>
    <w:uiPriority w:val="22"/>
    <w:qFormat/>
    <w:rsid w:val="00596DB9"/>
    <w:rPr>
      <w:b/>
      <w:bCs/>
    </w:rPr>
  </w:style>
  <w:style w:type="paragraph" w:styleId="NormalWeb">
    <w:name w:val="Normal (Web)"/>
    <w:basedOn w:val="Normal"/>
    <w:uiPriority w:val="99"/>
    <w:unhideWhenUsed/>
    <w:rsid w:val="00596DB9"/>
    <w:pPr>
      <w:spacing w:before="100" w:beforeAutospacing="1" w:after="100" w:afterAutospacing="1"/>
    </w:pPr>
  </w:style>
  <w:style w:type="character" w:styleId="Emphasis">
    <w:name w:val="Emphasis"/>
    <w:basedOn w:val="DefaultParagraphFont"/>
    <w:uiPriority w:val="20"/>
    <w:qFormat/>
    <w:rsid w:val="00596DB9"/>
    <w:rPr>
      <w:i/>
      <w:iCs/>
    </w:rPr>
  </w:style>
  <w:style w:type="paragraph" w:styleId="Revision">
    <w:name w:val="Revision"/>
    <w:hidden/>
    <w:uiPriority w:val="99"/>
    <w:semiHidden/>
    <w:rsid w:val="00596DB9"/>
  </w:style>
  <w:style w:type="character" w:styleId="Hyperlink">
    <w:name w:val="Hyperlink"/>
    <w:basedOn w:val="DefaultParagraphFont"/>
    <w:uiPriority w:val="99"/>
    <w:unhideWhenUsed/>
    <w:rsid w:val="00B714D3"/>
    <w:rPr>
      <w:color w:val="0563C1" w:themeColor="hyperlink"/>
      <w:u w:val="single"/>
    </w:rPr>
  </w:style>
  <w:style w:type="character" w:customStyle="1" w:styleId="UnresolvedMention1">
    <w:name w:val="Unresolved Mention1"/>
    <w:basedOn w:val="DefaultParagraphFont"/>
    <w:uiPriority w:val="99"/>
    <w:semiHidden/>
    <w:unhideWhenUsed/>
    <w:rsid w:val="00B714D3"/>
    <w:rPr>
      <w:color w:val="605E5C"/>
      <w:shd w:val="clear" w:color="auto" w:fill="E1DFDD"/>
    </w:rPr>
  </w:style>
  <w:style w:type="paragraph" w:styleId="FootnoteText">
    <w:name w:val="footnote text"/>
    <w:basedOn w:val="Normal"/>
    <w:link w:val="FootnoteTextChar"/>
    <w:uiPriority w:val="99"/>
    <w:unhideWhenUsed/>
    <w:rsid w:val="0048255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8255D"/>
    <w:rPr>
      <w:sz w:val="20"/>
      <w:szCs w:val="20"/>
    </w:rPr>
  </w:style>
  <w:style w:type="character" w:styleId="FootnoteReference">
    <w:name w:val="footnote reference"/>
    <w:basedOn w:val="DefaultParagraphFont"/>
    <w:uiPriority w:val="99"/>
    <w:semiHidden/>
    <w:unhideWhenUsed/>
    <w:rsid w:val="0048255D"/>
    <w:rPr>
      <w:vertAlign w:val="superscript"/>
    </w:rPr>
  </w:style>
  <w:style w:type="paragraph" w:styleId="EndnoteText">
    <w:name w:val="endnote text"/>
    <w:basedOn w:val="Normal"/>
    <w:link w:val="EndnoteTextChar"/>
    <w:uiPriority w:val="99"/>
    <w:semiHidden/>
    <w:unhideWhenUsed/>
    <w:rsid w:val="001C1081"/>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1C1081"/>
    <w:rPr>
      <w:sz w:val="20"/>
      <w:szCs w:val="20"/>
    </w:rPr>
  </w:style>
  <w:style w:type="character" w:styleId="EndnoteReference">
    <w:name w:val="endnote reference"/>
    <w:basedOn w:val="DefaultParagraphFont"/>
    <w:uiPriority w:val="99"/>
    <w:semiHidden/>
    <w:unhideWhenUsed/>
    <w:rsid w:val="001C1081"/>
    <w:rPr>
      <w:vertAlign w:val="superscript"/>
    </w:rPr>
  </w:style>
  <w:style w:type="paragraph" w:styleId="ListParagraph">
    <w:name w:val="List Paragraph"/>
    <w:basedOn w:val="Normal"/>
    <w:uiPriority w:val="34"/>
    <w:qFormat/>
    <w:rsid w:val="0047164A"/>
    <w:pPr>
      <w:ind w:left="720"/>
      <w:contextualSpacing/>
    </w:pPr>
  </w:style>
  <w:style w:type="paragraph" w:customStyle="1" w:styleId="xmsonormal">
    <w:name w:val="x_msonormal"/>
    <w:basedOn w:val="Normal"/>
    <w:rsid w:val="0025106B"/>
    <w:pPr>
      <w:spacing w:before="100" w:beforeAutospacing="1" w:after="100" w:afterAutospacing="1"/>
    </w:pPr>
  </w:style>
  <w:style w:type="character" w:customStyle="1" w:styleId="highlight">
    <w:name w:val="highlight"/>
    <w:basedOn w:val="DefaultParagraphFont"/>
    <w:rsid w:val="00835B75"/>
  </w:style>
  <w:style w:type="character" w:styleId="FollowedHyperlink">
    <w:name w:val="FollowedHyperlink"/>
    <w:basedOn w:val="DefaultParagraphFont"/>
    <w:uiPriority w:val="99"/>
    <w:semiHidden/>
    <w:unhideWhenUsed/>
    <w:rsid w:val="00BD472B"/>
    <w:rPr>
      <w:color w:val="954F72" w:themeColor="followedHyperlink"/>
      <w:u w:val="single"/>
    </w:rPr>
  </w:style>
  <w:style w:type="character" w:customStyle="1" w:styleId="UnresolvedMention2">
    <w:name w:val="Unresolved Mention2"/>
    <w:basedOn w:val="DefaultParagraphFont"/>
    <w:uiPriority w:val="99"/>
    <w:semiHidden/>
    <w:unhideWhenUsed/>
    <w:rsid w:val="002102AD"/>
    <w:rPr>
      <w:color w:val="605E5C"/>
      <w:shd w:val="clear" w:color="auto" w:fill="E1DFDD"/>
    </w:rPr>
  </w:style>
  <w:style w:type="character" w:styleId="UnresolvedMention">
    <w:name w:val="Unresolved Mention"/>
    <w:basedOn w:val="DefaultParagraphFont"/>
    <w:uiPriority w:val="99"/>
    <w:semiHidden/>
    <w:unhideWhenUsed/>
    <w:rsid w:val="00B90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584451">
      <w:bodyDiv w:val="1"/>
      <w:marLeft w:val="0"/>
      <w:marRight w:val="0"/>
      <w:marTop w:val="0"/>
      <w:marBottom w:val="0"/>
      <w:divBdr>
        <w:top w:val="none" w:sz="0" w:space="0" w:color="auto"/>
        <w:left w:val="none" w:sz="0" w:space="0" w:color="auto"/>
        <w:bottom w:val="none" w:sz="0" w:space="0" w:color="auto"/>
        <w:right w:val="none" w:sz="0" w:space="0" w:color="auto"/>
      </w:divBdr>
    </w:div>
    <w:div w:id="354576721">
      <w:bodyDiv w:val="1"/>
      <w:marLeft w:val="0"/>
      <w:marRight w:val="0"/>
      <w:marTop w:val="0"/>
      <w:marBottom w:val="0"/>
      <w:divBdr>
        <w:top w:val="none" w:sz="0" w:space="0" w:color="auto"/>
        <w:left w:val="none" w:sz="0" w:space="0" w:color="auto"/>
        <w:bottom w:val="none" w:sz="0" w:space="0" w:color="auto"/>
        <w:right w:val="none" w:sz="0" w:space="0" w:color="auto"/>
      </w:divBdr>
    </w:div>
    <w:div w:id="442070158">
      <w:bodyDiv w:val="1"/>
      <w:marLeft w:val="0"/>
      <w:marRight w:val="0"/>
      <w:marTop w:val="0"/>
      <w:marBottom w:val="0"/>
      <w:divBdr>
        <w:top w:val="none" w:sz="0" w:space="0" w:color="auto"/>
        <w:left w:val="none" w:sz="0" w:space="0" w:color="auto"/>
        <w:bottom w:val="none" w:sz="0" w:space="0" w:color="auto"/>
        <w:right w:val="none" w:sz="0" w:space="0" w:color="auto"/>
      </w:divBdr>
    </w:div>
    <w:div w:id="468714307">
      <w:bodyDiv w:val="1"/>
      <w:marLeft w:val="0"/>
      <w:marRight w:val="0"/>
      <w:marTop w:val="0"/>
      <w:marBottom w:val="0"/>
      <w:divBdr>
        <w:top w:val="none" w:sz="0" w:space="0" w:color="auto"/>
        <w:left w:val="none" w:sz="0" w:space="0" w:color="auto"/>
        <w:bottom w:val="none" w:sz="0" w:space="0" w:color="auto"/>
        <w:right w:val="none" w:sz="0" w:space="0" w:color="auto"/>
      </w:divBdr>
    </w:div>
    <w:div w:id="571963016">
      <w:bodyDiv w:val="1"/>
      <w:marLeft w:val="0"/>
      <w:marRight w:val="0"/>
      <w:marTop w:val="0"/>
      <w:marBottom w:val="0"/>
      <w:divBdr>
        <w:top w:val="none" w:sz="0" w:space="0" w:color="auto"/>
        <w:left w:val="none" w:sz="0" w:space="0" w:color="auto"/>
        <w:bottom w:val="none" w:sz="0" w:space="0" w:color="auto"/>
        <w:right w:val="none" w:sz="0" w:space="0" w:color="auto"/>
      </w:divBdr>
      <w:divsChild>
        <w:div w:id="1303851486">
          <w:marLeft w:val="300"/>
          <w:marRight w:val="0"/>
          <w:marTop w:val="0"/>
          <w:marBottom w:val="0"/>
          <w:divBdr>
            <w:top w:val="none" w:sz="0" w:space="0" w:color="auto"/>
            <w:left w:val="none" w:sz="0" w:space="0" w:color="auto"/>
            <w:bottom w:val="none" w:sz="0" w:space="0" w:color="auto"/>
            <w:right w:val="none" w:sz="0" w:space="0" w:color="auto"/>
          </w:divBdr>
          <w:divsChild>
            <w:div w:id="2003699851">
              <w:marLeft w:val="0"/>
              <w:marRight w:val="0"/>
              <w:marTop w:val="0"/>
              <w:marBottom w:val="375"/>
              <w:divBdr>
                <w:top w:val="none" w:sz="0" w:space="0" w:color="auto"/>
                <w:left w:val="none" w:sz="0" w:space="0" w:color="auto"/>
                <w:bottom w:val="none" w:sz="0" w:space="0" w:color="auto"/>
                <w:right w:val="none" w:sz="0" w:space="0" w:color="auto"/>
              </w:divBdr>
              <w:divsChild>
                <w:div w:id="14294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64774">
      <w:bodyDiv w:val="1"/>
      <w:marLeft w:val="0"/>
      <w:marRight w:val="0"/>
      <w:marTop w:val="0"/>
      <w:marBottom w:val="0"/>
      <w:divBdr>
        <w:top w:val="none" w:sz="0" w:space="0" w:color="auto"/>
        <w:left w:val="none" w:sz="0" w:space="0" w:color="auto"/>
        <w:bottom w:val="none" w:sz="0" w:space="0" w:color="auto"/>
        <w:right w:val="none" w:sz="0" w:space="0" w:color="auto"/>
      </w:divBdr>
    </w:div>
    <w:div w:id="642123737">
      <w:bodyDiv w:val="1"/>
      <w:marLeft w:val="0"/>
      <w:marRight w:val="0"/>
      <w:marTop w:val="0"/>
      <w:marBottom w:val="0"/>
      <w:divBdr>
        <w:top w:val="none" w:sz="0" w:space="0" w:color="auto"/>
        <w:left w:val="none" w:sz="0" w:space="0" w:color="auto"/>
        <w:bottom w:val="none" w:sz="0" w:space="0" w:color="auto"/>
        <w:right w:val="none" w:sz="0" w:space="0" w:color="auto"/>
      </w:divBdr>
    </w:div>
    <w:div w:id="737828939">
      <w:bodyDiv w:val="1"/>
      <w:marLeft w:val="0"/>
      <w:marRight w:val="0"/>
      <w:marTop w:val="0"/>
      <w:marBottom w:val="0"/>
      <w:divBdr>
        <w:top w:val="none" w:sz="0" w:space="0" w:color="auto"/>
        <w:left w:val="none" w:sz="0" w:space="0" w:color="auto"/>
        <w:bottom w:val="none" w:sz="0" w:space="0" w:color="auto"/>
        <w:right w:val="none" w:sz="0" w:space="0" w:color="auto"/>
      </w:divBdr>
    </w:div>
    <w:div w:id="754278436">
      <w:bodyDiv w:val="1"/>
      <w:marLeft w:val="0"/>
      <w:marRight w:val="0"/>
      <w:marTop w:val="0"/>
      <w:marBottom w:val="0"/>
      <w:divBdr>
        <w:top w:val="none" w:sz="0" w:space="0" w:color="auto"/>
        <w:left w:val="none" w:sz="0" w:space="0" w:color="auto"/>
        <w:bottom w:val="none" w:sz="0" w:space="0" w:color="auto"/>
        <w:right w:val="none" w:sz="0" w:space="0" w:color="auto"/>
      </w:divBdr>
    </w:div>
    <w:div w:id="771439156">
      <w:bodyDiv w:val="1"/>
      <w:marLeft w:val="0"/>
      <w:marRight w:val="0"/>
      <w:marTop w:val="0"/>
      <w:marBottom w:val="0"/>
      <w:divBdr>
        <w:top w:val="none" w:sz="0" w:space="0" w:color="auto"/>
        <w:left w:val="none" w:sz="0" w:space="0" w:color="auto"/>
        <w:bottom w:val="none" w:sz="0" w:space="0" w:color="auto"/>
        <w:right w:val="none" w:sz="0" w:space="0" w:color="auto"/>
      </w:divBdr>
    </w:div>
    <w:div w:id="803502191">
      <w:bodyDiv w:val="1"/>
      <w:marLeft w:val="0"/>
      <w:marRight w:val="0"/>
      <w:marTop w:val="0"/>
      <w:marBottom w:val="0"/>
      <w:divBdr>
        <w:top w:val="none" w:sz="0" w:space="0" w:color="auto"/>
        <w:left w:val="none" w:sz="0" w:space="0" w:color="auto"/>
        <w:bottom w:val="none" w:sz="0" w:space="0" w:color="auto"/>
        <w:right w:val="none" w:sz="0" w:space="0" w:color="auto"/>
      </w:divBdr>
    </w:div>
    <w:div w:id="874120909">
      <w:bodyDiv w:val="1"/>
      <w:marLeft w:val="0"/>
      <w:marRight w:val="0"/>
      <w:marTop w:val="0"/>
      <w:marBottom w:val="0"/>
      <w:divBdr>
        <w:top w:val="none" w:sz="0" w:space="0" w:color="auto"/>
        <w:left w:val="none" w:sz="0" w:space="0" w:color="auto"/>
        <w:bottom w:val="none" w:sz="0" w:space="0" w:color="auto"/>
        <w:right w:val="none" w:sz="0" w:space="0" w:color="auto"/>
      </w:divBdr>
    </w:div>
    <w:div w:id="875196018">
      <w:bodyDiv w:val="1"/>
      <w:marLeft w:val="0"/>
      <w:marRight w:val="0"/>
      <w:marTop w:val="0"/>
      <w:marBottom w:val="0"/>
      <w:divBdr>
        <w:top w:val="none" w:sz="0" w:space="0" w:color="auto"/>
        <w:left w:val="none" w:sz="0" w:space="0" w:color="auto"/>
        <w:bottom w:val="none" w:sz="0" w:space="0" w:color="auto"/>
        <w:right w:val="none" w:sz="0" w:space="0" w:color="auto"/>
      </w:divBdr>
    </w:div>
    <w:div w:id="965165716">
      <w:bodyDiv w:val="1"/>
      <w:marLeft w:val="0"/>
      <w:marRight w:val="0"/>
      <w:marTop w:val="0"/>
      <w:marBottom w:val="0"/>
      <w:divBdr>
        <w:top w:val="none" w:sz="0" w:space="0" w:color="auto"/>
        <w:left w:val="none" w:sz="0" w:space="0" w:color="auto"/>
        <w:bottom w:val="none" w:sz="0" w:space="0" w:color="auto"/>
        <w:right w:val="none" w:sz="0" w:space="0" w:color="auto"/>
      </w:divBdr>
    </w:div>
    <w:div w:id="1306468837">
      <w:bodyDiv w:val="1"/>
      <w:marLeft w:val="0"/>
      <w:marRight w:val="0"/>
      <w:marTop w:val="0"/>
      <w:marBottom w:val="0"/>
      <w:divBdr>
        <w:top w:val="none" w:sz="0" w:space="0" w:color="auto"/>
        <w:left w:val="none" w:sz="0" w:space="0" w:color="auto"/>
        <w:bottom w:val="none" w:sz="0" w:space="0" w:color="auto"/>
        <w:right w:val="none" w:sz="0" w:space="0" w:color="auto"/>
      </w:divBdr>
    </w:div>
    <w:div w:id="1340502198">
      <w:bodyDiv w:val="1"/>
      <w:marLeft w:val="0"/>
      <w:marRight w:val="0"/>
      <w:marTop w:val="0"/>
      <w:marBottom w:val="0"/>
      <w:divBdr>
        <w:top w:val="none" w:sz="0" w:space="0" w:color="auto"/>
        <w:left w:val="none" w:sz="0" w:space="0" w:color="auto"/>
        <w:bottom w:val="none" w:sz="0" w:space="0" w:color="auto"/>
        <w:right w:val="none" w:sz="0" w:space="0" w:color="auto"/>
      </w:divBdr>
    </w:div>
    <w:div w:id="1421295828">
      <w:bodyDiv w:val="1"/>
      <w:marLeft w:val="0"/>
      <w:marRight w:val="0"/>
      <w:marTop w:val="0"/>
      <w:marBottom w:val="0"/>
      <w:divBdr>
        <w:top w:val="none" w:sz="0" w:space="0" w:color="auto"/>
        <w:left w:val="none" w:sz="0" w:space="0" w:color="auto"/>
        <w:bottom w:val="none" w:sz="0" w:space="0" w:color="auto"/>
        <w:right w:val="none" w:sz="0" w:space="0" w:color="auto"/>
      </w:divBdr>
    </w:div>
    <w:div w:id="1434936735">
      <w:bodyDiv w:val="1"/>
      <w:marLeft w:val="0"/>
      <w:marRight w:val="0"/>
      <w:marTop w:val="0"/>
      <w:marBottom w:val="0"/>
      <w:divBdr>
        <w:top w:val="none" w:sz="0" w:space="0" w:color="auto"/>
        <w:left w:val="none" w:sz="0" w:space="0" w:color="auto"/>
        <w:bottom w:val="none" w:sz="0" w:space="0" w:color="auto"/>
        <w:right w:val="none" w:sz="0" w:space="0" w:color="auto"/>
      </w:divBdr>
    </w:div>
    <w:div w:id="1506936499">
      <w:bodyDiv w:val="1"/>
      <w:marLeft w:val="0"/>
      <w:marRight w:val="0"/>
      <w:marTop w:val="0"/>
      <w:marBottom w:val="0"/>
      <w:divBdr>
        <w:top w:val="none" w:sz="0" w:space="0" w:color="auto"/>
        <w:left w:val="none" w:sz="0" w:space="0" w:color="auto"/>
        <w:bottom w:val="none" w:sz="0" w:space="0" w:color="auto"/>
        <w:right w:val="none" w:sz="0" w:space="0" w:color="auto"/>
      </w:divBdr>
    </w:div>
    <w:div w:id="1530755826">
      <w:bodyDiv w:val="1"/>
      <w:marLeft w:val="0"/>
      <w:marRight w:val="0"/>
      <w:marTop w:val="0"/>
      <w:marBottom w:val="0"/>
      <w:divBdr>
        <w:top w:val="none" w:sz="0" w:space="0" w:color="auto"/>
        <w:left w:val="none" w:sz="0" w:space="0" w:color="auto"/>
        <w:bottom w:val="none" w:sz="0" w:space="0" w:color="auto"/>
        <w:right w:val="none" w:sz="0" w:space="0" w:color="auto"/>
      </w:divBdr>
    </w:div>
    <w:div w:id="1604722375">
      <w:bodyDiv w:val="1"/>
      <w:marLeft w:val="0"/>
      <w:marRight w:val="0"/>
      <w:marTop w:val="0"/>
      <w:marBottom w:val="0"/>
      <w:divBdr>
        <w:top w:val="none" w:sz="0" w:space="0" w:color="auto"/>
        <w:left w:val="none" w:sz="0" w:space="0" w:color="auto"/>
        <w:bottom w:val="none" w:sz="0" w:space="0" w:color="auto"/>
        <w:right w:val="none" w:sz="0" w:space="0" w:color="auto"/>
      </w:divBdr>
    </w:div>
    <w:div w:id="1686982076">
      <w:bodyDiv w:val="1"/>
      <w:marLeft w:val="0"/>
      <w:marRight w:val="0"/>
      <w:marTop w:val="0"/>
      <w:marBottom w:val="0"/>
      <w:divBdr>
        <w:top w:val="none" w:sz="0" w:space="0" w:color="auto"/>
        <w:left w:val="none" w:sz="0" w:space="0" w:color="auto"/>
        <w:bottom w:val="none" w:sz="0" w:space="0" w:color="auto"/>
        <w:right w:val="none" w:sz="0" w:space="0" w:color="auto"/>
      </w:divBdr>
    </w:div>
    <w:div w:id="1688406389">
      <w:bodyDiv w:val="1"/>
      <w:marLeft w:val="0"/>
      <w:marRight w:val="0"/>
      <w:marTop w:val="0"/>
      <w:marBottom w:val="0"/>
      <w:divBdr>
        <w:top w:val="none" w:sz="0" w:space="0" w:color="auto"/>
        <w:left w:val="none" w:sz="0" w:space="0" w:color="auto"/>
        <w:bottom w:val="none" w:sz="0" w:space="0" w:color="auto"/>
        <w:right w:val="none" w:sz="0" w:space="0" w:color="auto"/>
      </w:divBdr>
    </w:div>
    <w:div w:id="1826120188">
      <w:bodyDiv w:val="1"/>
      <w:marLeft w:val="0"/>
      <w:marRight w:val="0"/>
      <w:marTop w:val="0"/>
      <w:marBottom w:val="0"/>
      <w:divBdr>
        <w:top w:val="none" w:sz="0" w:space="0" w:color="auto"/>
        <w:left w:val="none" w:sz="0" w:space="0" w:color="auto"/>
        <w:bottom w:val="none" w:sz="0" w:space="0" w:color="auto"/>
        <w:right w:val="none" w:sz="0" w:space="0" w:color="auto"/>
      </w:divBdr>
    </w:div>
    <w:div w:id="1843160031">
      <w:bodyDiv w:val="1"/>
      <w:marLeft w:val="0"/>
      <w:marRight w:val="0"/>
      <w:marTop w:val="0"/>
      <w:marBottom w:val="0"/>
      <w:divBdr>
        <w:top w:val="none" w:sz="0" w:space="0" w:color="auto"/>
        <w:left w:val="none" w:sz="0" w:space="0" w:color="auto"/>
        <w:bottom w:val="none" w:sz="0" w:space="0" w:color="auto"/>
        <w:right w:val="none" w:sz="0" w:space="0" w:color="auto"/>
      </w:divBdr>
    </w:div>
    <w:div w:id="1860658572">
      <w:bodyDiv w:val="1"/>
      <w:marLeft w:val="0"/>
      <w:marRight w:val="0"/>
      <w:marTop w:val="0"/>
      <w:marBottom w:val="0"/>
      <w:divBdr>
        <w:top w:val="none" w:sz="0" w:space="0" w:color="auto"/>
        <w:left w:val="none" w:sz="0" w:space="0" w:color="auto"/>
        <w:bottom w:val="none" w:sz="0" w:space="0" w:color="auto"/>
        <w:right w:val="none" w:sz="0" w:space="0" w:color="auto"/>
      </w:divBdr>
    </w:div>
    <w:div w:id="1937784067">
      <w:bodyDiv w:val="1"/>
      <w:marLeft w:val="0"/>
      <w:marRight w:val="0"/>
      <w:marTop w:val="0"/>
      <w:marBottom w:val="0"/>
      <w:divBdr>
        <w:top w:val="none" w:sz="0" w:space="0" w:color="auto"/>
        <w:left w:val="none" w:sz="0" w:space="0" w:color="auto"/>
        <w:bottom w:val="none" w:sz="0" w:space="0" w:color="auto"/>
        <w:right w:val="none" w:sz="0" w:space="0" w:color="auto"/>
      </w:divBdr>
    </w:div>
    <w:div w:id="2028173765">
      <w:bodyDiv w:val="1"/>
      <w:marLeft w:val="0"/>
      <w:marRight w:val="0"/>
      <w:marTop w:val="0"/>
      <w:marBottom w:val="0"/>
      <w:divBdr>
        <w:top w:val="none" w:sz="0" w:space="0" w:color="auto"/>
        <w:left w:val="none" w:sz="0" w:space="0" w:color="auto"/>
        <w:bottom w:val="none" w:sz="0" w:space="0" w:color="auto"/>
        <w:right w:val="none" w:sz="0" w:space="0" w:color="auto"/>
      </w:divBdr>
    </w:div>
    <w:div w:id="202843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miller@uiowa.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4B40-0EAA-4D8F-BC05-FFA48348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7883</Words>
  <Characters>44937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Miller</dc:creator>
  <cp:keywords/>
  <dc:description/>
  <cp:lastModifiedBy>Miller, Jane E</cp:lastModifiedBy>
  <cp:revision>3</cp:revision>
  <cp:lastPrinted>2021-08-30T00:27:00Z</cp:lastPrinted>
  <dcterms:created xsi:type="dcterms:W3CDTF">2021-08-30T00:27:00Z</dcterms:created>
  <dcterms:modified xsi:type="dcterms:W3CDTF">2021-08-30T00:28:00Z</dcterms:modified>
</cp:coreProperties>
</file>